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66C55" w14:textId="77777777" w:rsidR="0021763C" w:rsidRPr="006D031B" w:rsidRDefault="19C93153" w:rsidP="19C93153">
      <w:pPr>
        <w:jc w:val="center"/>
        <w:rPr>
          <w:rFonts w:ascii="Arial" w:eastAsia="Arial" w:hAnsi="Arial" w:cs="Arial"/>
          <w:b/>
          <w:bCs/>
          <w:sz w:val="28"/>
          <w:szCs w:val="28"/>
        </w:rPr>
      </w:pPr>
      <w:r w:rsidRPr="19C93153">
        <w:rPr>
          <w:rFonts w:ascii="Arial" w:eastAsia="Arial" w:hAnsi="Arial" w:cs="Arial"/>
          <w:b/>
          <w:bCs/>
          <w:sz w:val="28"/>
          <w:szCs w:val="28"/>
        </w:rPr>
        <w:t>DUTY OF CANDOUR POLICY – PP06</w:t>
      </w:r>
    </w:p>
    <w:p w14:paraId="30F6ADEA" w14:textId="77777777" w:rsidR="00200995" w:rsidRPr="006D031B" w:rsidRDefault="00200995" w:rsidP="00E2149D">
      <w:pPr>
        <w:jc w:val="both"/>
        <w:rPr>
          <w:rFonts w:ascii="Arial" w:hAnsi="Arial" w:cs="Arial"/>
          <w:b/>
          <w:szCs w:val="24"/>
        </w:rPr>
      </w:pPr>
    </w:p>
    <w:p w14:paraId="08345077" w14:textId="77777777" w:rsidR="00D07625" w:rsidRPr="00D07625" w:rsidRDefault="00325097" w:rsidP="19C93153">
      <w:pPr>
        <w:jc w:val="both"/>
        <w:rPr>
          <w:rFonts w:ascii="Arial" w:eastAsia="Arial" w:hAnsi="Arial" w:cs="Arial"/>
          <w:b/>
          <w:bCs/>
        </w:rPr>
      </w:pPr>
      <w:r w:rsidRPr="19C93153">
        <w:rPr>
          <w:rFonts w:ascii="Arial" w:eastAsia="Arial" w:hAnsi="Arial" w:cs="Arial"/>
          <w:b/>
          <w:bCs/>
        </w:rPr>
        <w:t>1.</w:t>
      </w:r>
      <w:r>
        <w:rPr>
          <w:rFonts w:ascii="Arial" w:hAnsi="Arial" w:cs="Arial"/>
          <w:b/>
          <w:szCs w:val="24"/>
        </w:rPr>
        <w:tab/>
      </w:r>
      <w:r w:rsidR="005869C1" w:rsidRPr="19C93153">
        <w:rPr>
          <w:rFonts w:ascii="Arial" w:eastAsia="Arial" w:hAnsi="Arial" w:cs="Arial"/>
          <w:b/>
          <w:bCs/>
        </w:rPr>
        <w:t>I</w:t>
      </w:r>
      <w:r w:rsidR="0021763C" w:rsidRPr="19C93153">
        <w:rPr>
          <w:rFonts w:ascii="Arial" w:eastAsia="Arial" w:hAnsi="Arial" w:cs="Arial"/>
          <w:b/>
          <w:bCs/>
        </w:rPr>
        <w:t>NTRODUCTION</w:t>
      </w:r>
    </w:p>
    <w:p w14:paraId="604A5FED" w14:textId="77777777" w:rsidR="00C05FB9" w:rsidRDefault="00C05FB9" w:rsidP="00E2149D">
      <w:pPr>
        <w:jc w:val="both"/>
        <w:rPr>
          <w:rFonts w:ascii="Arial" w:hAnsi="Arial" w:cs="Arial"/>
          <w:szCs w:val="24"/>
        </w:rPr>
      </w:pPr>
    </w:p>
    <w:p w14:paraId="08E14203" w14:textId="77777777" w:rsidR="00D07625" w:rsidRPr="00D07625" w:rsidRDefault="19C93153" w:rsidP="19C93153">
      <w:pPr>
        <w:pStyle w:val="BodyText"/>
        <w:ind w:left="720"/>
        <w:jc w:val="both"/>
        <w:rPr>
          <w:rFonts w:ascii="Arial" w:eastAsia="Arial" w:hAnsi="Arial" w:cs="Arial"/>
          <w:b w:val="0"/>
          <w:sz w:val="22"/>
          <w:szCs w:val="22"/>
          <w:lang w:val="en"/>
        </w:rPr>
      </w:pPr>
      <w:r w:rsidRPr="19C93153">
        <w:rPr>
          <w:rFonts w:ascii="Arial" w:eastAsia="Arial" w:hAnsi="Arial" w:cs="Arial"/>
          <w:b w:val="0"/>
          <w:sz w:val="22"/>
          <w:szCs w:val="22"/>
        </w:rPr>
        <w:t xml:space="preserve">This policy </w:t>
      </w:r>
      <w:proofErr w:type="gramStart"/>
      <w:r w:rsidRPr="19C93153">
        <w:rPr>
          <w:rFonts w:ascii="Arial" w:eastAsia="Arial" w:hAnsi="Arial" w:cs="Arial"/>
          <w:b w:val="0"/>
          <w:sz w:val="22"/>
          <w:szCs w:val="22"/>
        </w:rPr>
        <w:t xml:space="preserve">refers to the need for Phoenix Support </w:t>
      </w:r>
      <w:r w:rsidRPr="19C93153">
        <w:rPr>
          <w:rFonts w:ascii="Arial" w:eastAsia="Arial" w:hAnsi="Arial" w:cs="Arial"/>
          <w:b w:val="0"/>
          <w:sz w:val="22"/>
          <w:szCs w:val="22"/>
          <w:lang w:val="en"/>
        </w:rPr>
        <w:t>to at all times</w:t>
      </w:r>
      <w:proofErr w:type="gramEnd"/>
      <w:r w:rsidRPr="19C93153">
        <w:rPr>
          <w:rFonts w:ascii="Arial" w:eastAsia="Arial" w:hAnsi="Arial" w:cs="Arial"/>
          <w:b w:val="0"/>
          <w:sz w:val="22"/>
          <w:szCs w:val="22"/>
          <w:lang w:val="en"/>
        </w:rPr>
        <w:t xml:space="preserve"> be open, honest and transparent with our service users about their support and treatment. It is relevant to all our staff and special attention to this policy must be bought to all levels of </w:t>
      </w:r>
      <w:proofErr w:type="spellStart"/>
      <w:r w:rsidRPr="19C93153">
        <w:rPr>
          <w:rFonts w:ascii="Arial" w:eastAsia="Arial" w:hAnsi="Arial" w:cs="Arial"/>
          <w:b w:val="0"/>
          <w:sz w:val="22"/>
          <w:szCs w:val="22"/>
          <w:lang w:val="en"/>
        </w:rPr>
        <w:t>managmetn</w:t>
      </w:r>
      <w:proofErr w:type="spellEnd"/>
      <w:r w:rsidRPr="19C93153">
        <w:rPr>
          <w:rFonts w:ascii="Arial" w:eastAsia="Arial" w:hAnsi="Arial" w:cs="Arial"/>
          <w:b w:val="0"/>
          <w:sz w:val="22"/>
          <w:szCs w:val="22"/>
          <w:lang w:val="en"/>
        </w:rPr>
        <w:t xml:space="preserve"> to </w:t>
      </w:r>
      <w:proofErr w:type="spellStart"/>
      <w:r w:rsidRPr="19C93153">
        <w:rPr>
          <w:rFonts w:ascii="Arial" w:eastAsia="Arial" w:hAnsi="Arial" w:cs="Arial"/>
          <w:b w:val="0"/>
          <w:sz w:val="22"/>
          <w:szCs w:val="22"/>
          <w:lang w:val="en"/>
        </w:rPr>
        <w:t>ensurethat</w:t>
      </w:r>
      <w:proofErr w:type="spellEnd"/>
      <w:r w:rsidRPr="19C93153">
        <w:rPr>
          <w:rFonts w:ascii="Arial" w:eastAsia="Arial" w:hAnsi="Arial" w:cs="Arial"/>
          <w:b w:val="0"/>
          <w:sz w:val="22"/>
          <w:szCs w:val="22"/>
          <w:lang w:val="en"/>
        </w:rPr>
        <w:t xml:space="preserve"> a culture of openness is bred through the company. </w:t>
      </w:r>
    </w:p>
    <w:p w14:paraId="1AE6B167" w14:textId="77777777" w:rsidR="00D333DD" w:rsidRPr="00D07625" w:rsidRDefault="00D333DD" w:rsidP="00E2149D">
      <w:pPr>
        <w:jc w:val="both"/>
        <w:rPr>
          <w:rFonts w:ascii="Arial" w:hAnsi="Arial" w:cs="Arial"/>
          <w:b/>
          <w:szCs w:val="24"/>
        </w:rPr>
      </w:pPr>
    </w:p>
    <w:p w14:paraId="013FA5E4" w14:textId="77777777" w:rsidR="00D333DD" w:rsidRPr="006D031B" w:rsidRDefault="00325097" w:rsidP="19C93153">
      <w:pPr>
        <w:jc w:val="both"/>
        <w:rPr>
          <w:rFonts w:ascii="Arial" w:eastAsia="Arial" w:hAnsi="Arial" w:cs="Arial"/>
          <w:b/>
          <w:bCs/>
        </w:rPr>
      </w:pPr>
      <w:r w:rsidRPr="19C93153">
        <w:rPr>
          <w:rFonts w:ascii="Arial" w:eastAsia="Arial" w:hAnsi="Arial" w:cs="Arial"/>
          <w:b/>
          <w:bCs/>
        </w:rPr>
        <w:t>2.</w:t>
      </w:r>
      <w:r>
        <w:rPr>
          <w:rFonts w:ascii="Arial" w:hAnsi="Arial" w:cs="Arial"/>
          <w:b/>
          <w:szCs w:val="24"/>
        </w:rPr>
        <w:tab/>
      </w:r>
      <w:r w:rsidR="00D333DD" w:rsidRPr="19C93153">
        <w:rPr>
          <w:rFonts w:ascii="Arial" w:eastAsia="Arial" w:hAnsi="Arial" w:cs="Arial"/>
          <w:b/>
          <w:bCs/>
        </w:rPr>
        <w:t xml:space="preserve">POLICY STATEMENT </w:t>
      </w:r>
    </w:p>
    <w:p w14:paraId="1B1A47DB" w14:textId="77777777" w:rsidR="00975AB5" w:rsidRPr="006D031B" w:rsidRDefault="00975AB5" w:rsidP="00E2149D">
      <w:pPr>
        <w:jc w:val="both"/>
        <w:rPr>
          <w:rFonts w:ascii="Arial" w:hAnsi="Arial" w:cs="Arial"/>
          <w:b/>
          <w:szCs w:val="24"/>
        </w:rPr>
      </w:pPr>
    </w:p>
    <w:p w14:paraId="205418A5" w14:textId="77777777" w:rsidR="0021763C" w:rsidRDefault="19C93153" w:rsidP="19C93153">
      <w:pPr>
        <w:ind w:left="720"/>
        <w:jc w:val="both"/>
        <w:rPr>
          <w:rFonts w:ascii="Arial" w:eastAsia="Arial" w:hAnsi="Arial" w:cs="Arial"/>
          <w:sz w:val="22"/>
          <w:szCs w:val="22"/>
        </w:rPr>
      </w:pPr>
      <w:r w:rsidRPr="19C93153">
        <w:rPr>
          <w:rFonts w:ascii="Arial" w:eastAsia="Arial" w:hAnsi="Arial" w:cs="Arial"/>
          <w:sz w:val="22"/>
          <w:szCs w:val="22"/>
        </w:rPr>
        <w:t xml:space="preserve">The aim of this policy is to ensure that this organisation is fully compliant with the proposed Duty of Candour and embraces a culture of openness and truthfulness in </w:t>
      </w:r>
      <w:proofErr w:type="gramStart"/>
      <w:r w:rsidRPr="19C93153">
        <w:rPr>
          <w:rFonts w:ascii="Arial" w:eastAsia="Arial" w:hAnsi="Arial" w:cs="Arial"/>
          <w:sz w:val="22"/>
          <w:szCs w:val="22"/>
        </w:rPr>
        <w:t>all of</w:t>
      </w:r>
      <w:proofErr w:type="gramEnd"/>
      <w:r w:rsidRPr="19C93153">
        <w:rPr>
          <w:rFonts w:ascii="Arial" w:eastAsia="Arial" w:hAnsi="Arial" w:cs="Arial"/>
          <w:sz w:val="22"/>
          <w:szCs w:val="22"/>
        </w:rPr>
        <w:t xml:space="preserve"> its dealings with service users, their carers and their families. We will always welcome knowledge of our faults with the proposal of improving them, Phoenix Support will aim to improve and develop its culture to reflect its full values in a truly transparent way</w:t>
      </w:r>
    </w:p>
    <w:p w14:paraId="010640E0" w14:textId="77777777" w:rsidR="005738B0" w:rsidRPr="005738B0" w:rsidRDefault="005738B0" w:rsidP="00E2149D">
      <w:pPr>
        <w:jc w:val="both"/>
        <w:rPr>
          <w:rFonts w:ascii="Arial" w:hAnsi="Arial" w:cs="Arial"/>
          <w:sz w:val="22"/>
          <w:szCs w:val="22"/>
        </w:rPr>
      </w:pPr>
    </w:p>
    <w:p w14:paraId="78CCE097" w14:textId="77777777" w:rsidR="0021763C" w:rsidRDefault="00325097" w:rsidP="19C93153">
      <w:pPr>
        <w:jc w:val="both"/>
        <w:rPr>
          <w:rFonts w:ascii="Arial" w:eastAsia="Arial" w:hAnsi="Arial" w:cs="Arial"/>
          <w:b/>
          <w:bCs/>
        </w:rPr>
      </w:pPr>
      <w:r w:rsidRPr="19C93153">
        <w:rPr>
          <w:rFonts w:ascii="Arial" w:eastAsia="Arial" w:hAnsi="Arial" w:cs="Arial"/>
          <w:b/>
          <w:bCs/>
        </w:rPr>
        <w:t>3.</w:t>
      </w:r>
      <w:r>
        <w:rPr>
          <w:rFonts w:ascii="Arial" w:hAnsi="Arial" w:cs="Arial"/>
          <w:b/>
          <w:szCs w:val="24"/>
        </w:rPr>
        <w:tab/>
      </w:r>
      <w:r w:rsidR="0021763C" w:rsidRPr="19C93153">
        <w:rPr>
          <w:rFonts w:ascii="Arial" w:eastAsia="Arial" w:hAnsi="Arial" w:cs="Arial"/>
          <w:b/>
          <w:bCs/>
        </w:rPr>
        <w:t>DEFINITION</w:t>
      </w:r>
    </w:p>
    <w:p w14:paraId="181962C6" w14:textId="77777777" w:rsidR="00D97894" w:rsidRDefault="00D97894" w:rsidP="00E2149D">
      <w:pPr>
        <w:jc w:val="both"/>
        <w:rPr>
          <w:rFonts w:ascii="Arial" w:hAnsi="Arial" w:cs="Arial"/>
          <w:b/>
          <w:szCs w:val="24"/>
        </w:rPr>
      </w:pPr>
    </w:p>
    <w:p w14:paraId="6A5F8E9F" w14:textId="77777777" w:rsidR="005738B0" w:rsidRPr="005738B0" w:rsidRDefault="19C93153" w:rsidP="19C93153">
      <w:pPr>
        <w:pStyle w:val="BodyText"/>
        <w:ind w:left="720"/>
        <w:jc w:val="both"/>
        <w:rPr>
          <w:rFonts w:ascii="Arial" w:eastAsia="Arial" w:hAnsi="Arial" w:cs="Arial"/>
          <w:b w:val="0"/>
          <w:sz w:val="22"/>
          <w:szCs w:val="22"/>
        </w:rPr>
      </w:pPr>
      <w:r w:rsidRPr="19C93153">
        <w:rPr>
          <w:rFonts w:ascii="Arial" w:eastAsia="Arial" w:hAnsi="Arial" w:cs="Arial"/>
          <w:b w:val="0"/>
          <w:sz w:val="22"/>
          <w:szCs w:val="22"/>
        </w:rPr>
        <w:t xml:space="preserve">The Francis Inquiry proposed that providers should be under a statutory Duty of Candour to inform the service user, or other duly authorised person as soon as practicable, when they believe or suspect that treatment or care provided has caused death or serious injury. </w:t>
      </w:r>
    </w:p>
    <w:p w14:paraId="27BAF6D1" w14:textId="77777777" w:rsidR="0021763C" w:rsidRPr="006D031B" w:rsidRDefault="0021763C" w:rsidP="00E2149D">
      <w:pPr>
        <w:jc w:val="both"/>
        <w:rPr>
          <w:rFonts w:ascii="Arial" w:hAnsi="Arial" w:cs="Arial"/>
          <w:szCs w:val="24"/>
        </w:rPr>
      </w:pPr>
    </w:p>
    <w:p w14:paraId="1B4B325F" w14:textId="77777777" w:rsidR="0021763C" w:rsidRDefault="00325097" w:rsidP="19C93153">
      <w:pPr>
        <w:jc w:val="both"/>
        <w:rPr>
          <w:rFonts w:ascii="Arial" w:eastAsia="Arial" w:hAnsi="Arial" w:cs="Arial"/>
          <w:b/>
          <w:bCs/>
        </w:rPr>
      </w:pPr>
      <w:r w:rsidRPr="19C93153">
        <w:rPr>
          <w:rFonts w:ascii="Arial" w:eastAsia="Arial" w:hAnsi="Arial" w:cs="Arial"/>
          <w:b/>
          <w:bCs/>
        </w:rPr>
        <w:t>4</w:t>
      </w:r>
      <w:r>
        <w:rPr>
          <w:rFonts w:ascii="Arial" w:hAnsi="Arial" w:cs="Arial"/>
          <w:b/>
          <w:szCs w:val="24"/>
        </w:rPr>
        <w:tab/>
      </w:r>
      <w:r w:rsidR="0021763C" w:rsidRPr="19C93153">
        <w:rPr>
          <w:rFonts w:ascii="Arial" w:eastAsia="Arial" w:hAnsi="Arial" w:cs="Arial"/>
          <w:b/>
          <w:bCs/>
        </w:rPr>
        <w:t>PURPOSE</w:t>
      </w:r>
    </w:p>
    <w:p w14:paraId="0DE98C06" w14:textId="77777777" w:rsidR="005738B0" w:rsidRPr="006D031B" w:rsidRDefault="005738B0" w:rsidP="00E2149D">
      <w:pPr>
        <w:jc w:val="both"/>
        <w:rPr>
          <w:rFonts w:ascii="Arial" w:hAnsi="Arial" w:cs="Arial"/>
          <w:b/>
          <w:szCs w:val="24"/>
        </w:rPr>
      </w:pPr>
    </w:p>
    <w:p w14:paraId="31217777" w14:textId="04E25542" w:rsidR="00C05FB9" w:rsidRPr="006D031B" w:rsidRDefault="19C93153" w:rsidP="19C93153">
      <w:pPr>
        <w:pStyle w:val="BodyText"/>
        <w:ind w:left="720"/>
        <w:jc w:val="both"/>
        <w:rPr>
          <w:rFonts w:ascii="Arial" w:eastAsia="Arial" w:hAnsi="Arial" w:cs="Arial"/>
        </w:rPr>
      </w:pPr>
      <w:r w:rsidRPr="19C93153">
        <w:rPr>
          <w:rFonts w:ascii="Arial" w:eastAsia="Arial" w:hAnsi="Arial" w:cs="Arial"/>
          <w:b w:val="0"/>
          <w:sz w:val="22"/>
          <w:szCs w:val="22"/>
        </w:rPr>
        <w:t xml:space="preserve">The Duty of Candour will be part of the new set of registration requirements that together will set out the outcomes that health and social care providers must meet in order to be registered and able to practice, as ever Phoenix Support endeavours to exceed expectations in this field </w:t>
      </w:r>
    </w:p>
    <w:p w14:paraId="28E9D65C" w14:textId="77777777" w:rsidR="0021763C" w:rsidRPr="006D031B" w:rsidRDefault="0021763C" w:rsidP="00E2149D">
      <w:pPr>
        <w:jc w:val="both"/>
        <w:rPr>
          <w:rFonts w:ascii="Arial" w:hAnsi="Arial" w:cs="Arial"/>
          <w:szCs w:val="24"/>
        </w:rPr>
      </w:pPr>
    </w:p>
    <w:p w14:paraId="19E9D779" w14:textId="77777777" w:rsidR="00D07625" w:rsidRPr="006D031B" w:rsidRDefault="00325097" w:rsidP="19C93153">
      <w:pPr>
        <w:jc w:val="both"/>
        <w:rPr>
          <w:rFonts w:ascii="Arial" w:eastAsia="Arial" w:hAnsi="Arial" w:cs="Arial"/>
          <w:b/>
          <w:bCs/>
        </w:rPr>
      </w:pPr>
      <w:r w:rsidRPr="19C93153">
        <w:rPr>
          <w:rFonts w:ascii="Arial" w:eastAsia="Arial" w:hAnsi="Arial" w:cs="Arial"/>
          <w:b/>
          <w:bCs/>
        </w:rPr>
        <w:t>5.</w:t>
      </w:r>
      <w:r>
        <w:rPr>
          <w:rFonts w:ascii="Arial" w:hAnsi="Arial" w:cs="Arial"/>
          <w:b/>
          <w:szCs w:val="24"/>
        </w:rPr>
        <w:tab/>
      </w:r>
      <w:r w:rsidR="0021763C" w:rsidRPr="19C93153">
        <w:rPr>
          <w:rFonts w:ascii="Arial" w:eastAsia="Arial" w:hAnsi="Arial" w:cs="Arial"/>
          <w:b/>
          <w:bCs/>
        </w:rPr>
        <w:t>CONTEXT</w:t>
      </w:r>
    </w:p>
    <w:p w14:paraId="1D82DAAC" w14:textId="36743B2F" w:rsidR="00F32E76" w:rsidRPr="00F32E76" w:rsidRDefault="00D07625" w:rsidP="19C93153">
      <w:pPr>
        <w:pStyle w:val="BodyText"/>
        <w:ind w:left="720"/>
        <w:jc w:val="both"/>
        <w:rPr>
          <w:rFonts w:ascii="Arial" w:eastAsia="Arial" w:hAnsi="Arial" w:cs="Arial"/>
          <w:b w:val="0"/>
          <w:sz w:val="22"/>
          <w:szCs w:val="22"/>
        </w:rPr>
      </w:pPr>
      <w:r w:rsidRPr="19C93153">
        <w:rPr>
          <w:rFonts w:ascii="Arial" w:eastAsia="Arial" w:hAnsi="Arial" w:cs="Arial"/>
          <w:b w:val="0"/>
          <w:sz w:val="22"/>
          <w:szCs w:val="22"/>
        </w:rPr>
        <w:t>The policy is written to be compliant with proposed new regulations being laid before Parliament in England and due to be introduced to Care Quality Commission registered providers in April 2015. Thi</w:t>
      </w:r>
      <w:r w:rsidR="00325097" w:rsidRPr="19C93153">
        <w:rPr>
          <w:rFonts w:ascii="Arial" w:eastAsia="Arial" w:hAnsi="Arial" w:cs="Arial"/>
          <w:b w:val="0"/>
          <w:sz w:val="22"/>
          <w:szCs w:val="22"/>
        </w:rPr>
        <w:t xml:space="preserve">s organisation understands that </w:t>
      </w:r>
      <w:r w:rsidRPr="19C93153">
        <w:rPr>
          <w:rFonts w:ascii="Arial" w:eastAsia="Arial" w:hAnsi="Arial" w:cs="Arial"/>
          <w:b w:val="0"/>
          <w:sz w:val="22"/>
          <w:szCs w:val="22"/>
        </w:rPr>
        <w:t xml:space="preserve">the Care Act 2014 places a </w:t>
      </w:r>
      <w:bookmarkStart w:id="0" w:name="LPHit31"/>
      <w:bookmarkEnd w:id="0"/>
      <w:r w:rsidRPr="19C93153">
        <w:rPr>
          <w:rFonts w:ascii="Arial" w:eastAsia="Arial" w:hAnsi="Arial" w:cs="Arial"/>
          <w:b w:val="0"/>
          <w:sz w:val="22"/>
          <w:szCs w:val="22"/>
        </w:rPr>
        <w:t xml:space="preserve">duty on the Government to include a statutory </w:t>
      </w:r>
      <w:bookmarkStart w:id="1" w:name="LPHit32"/>
      <w:bookmarkEnd w:id="1"/>
      <w:r w:rsidRPr="19C93153">
        <w:rPr>
          <w:rFonts w:ascii="Arial" w:eastAsia="Arial" w:hAnsi="Arial" w:cs="Arial"/>
          <w:b w:val="0"/>
          <w:sz w:val="22"/>
          <w:szCs w:val="22"/>
        </w:rPr>
        <w:t xml:space="preserve">duty </w:t>
      </w:r>
      <w:bookmarkStart w:id="2" w:name="LPHit33"/>
      <w:bookmarkEnd w:id="2"/>
      <w:r w:rsidRPr="19C93153">
        <w:rPr>
          <w:rFonts w:ascii="Arial" w:eastAsia="Arial" w:hAnsi="Arial" w:cs="Arial"/>
          <w:b w:val="0"/>
          <w:sz w:val="22"/>
          <w:szCs w:val="22"/>
        </w:rPr>
        <w:t xml:space="preserve">of </w:t>
      </w:r>
      <w:bookmarkStart w:id="3" w:name="LPHit34"/>
      <w:bookmarkEnd w:id="3"/>
      <w:r w:rsidRPr="19C93153">
        <w:rPr>
          <w:rFonts w:ascii="Arial" w:eastAsia="Arial" w:hAnsi="Arial" w:cs="Arial"/>
          <w:b w:val="0"/>
          <w:sz w:val="22"/>
          <w:szCs w:val="22"/>
        </w:rPr>
        <w:t>candour on pr</w:t>
      </w:r>
      <w:r w:rsidR="00325097" w:rsidRPr="19C93153">
        <w:rPr>
          <w:rFonts w:ascii="Arial" w:eastAsia="Arial" w:hAnsi="Arial" w:cs="Arial"/>
          <w:b w:val="0"/>
          <w:sz w:val="22"/>
          <w:szCs w:val="22"/>
        </w:rPr>
        <w:t xml:space="preserve">oviders registered with the CQC, </w:t>
      </w:r>
      <w:r w:rsidRPr="19C93153">
        <w:rPr>
          <w:rFonts w:ascii="Arial" w:eastAsia="Arial" w:hAnsi="Arial" w:cs="Arial"/>
          <w:b w:val="0"/>
          <w:sz w:val="22"/>
          <w:szCs w:val="22"/>
        </w:rPr>
        <w:t>the Social Care Act 2008 (Registered Activities) Regulations 2014 will impose the Duty of Candour on adult social care providers from April 2015.</w:t>
      </w:r>
      <w:r w:rsidR="00325097" w:rsidRPr="19C93153">
        <w:rPr>
          <w:rFonts w:ascii="Arial" w:eastAsia="Arial" w:hAnsi="Arial" w:cs="Arial"/>
          <w:b w:val="0"/>
          <w:sz w:val="22"/>
          <w:szCs w:val="22"/>
        </w:rPr>
        <w:t xml:space="preserve"> </w:t>
      </w:r>
    </w:p>
    <w:p w14:paraId="10E21800" w14:textId="77777777" w:rsidR="00C05FB9" w:rsidRPr="006D031B" w:rsidRDefault="00C05FB9" w:rsidP="00E2149D">
      <w:pPr>
        <w:jc w:val="both"/>
        <w:rPr>
          <w:rFonts w:ascii="Arial" w:hAnsi="Arial" w:cs="Arial"/>
          <w:sz w:val="22"/>
          <w:szCs w:val="22"/>
        </w:rPr>
      </w:pPr>
    </w:p>
    <w:p w14:paraId="3895F34A" w14:textId="77777777" w:rsidR="0021763C" w:rsidRDefault="00325097" w:rsidP="19C93153">
      <w:pPr>
        <w:jc w:val="both"/>
        <w:rPr>
          <w:rFonts w:ascii="Arial" w:eastAsia="Arial" w:hAnsi="Arial" w:cs="Arial"/>
          <w:b/>
          <w:bCs/>
        </w:rPr>
      </w:pPr>
      <w:r w:rsidRPr="19C93153">
        <w:rPr>
          <w:rFonts w:ascii="Arial" w:eastAsia="Arial" w:hAnsi="Arial" w:cs="Arial"/>
          <w:b/>
          <w:bCs/>
        </w:rPr>
        <w:t>6.</w:t>
      </w:r>
      <w:r>
        <w:rPr>
          <w:rFonts w:ascii="Arial" w:hAnsi="Arial" w:cs="Arial"/>
          <w:b/>
          <w:szCs w:val="24"/>
        </w:rPr>
        <w:tab/>
      </w:r>
      <w:r w:rsidR="0021763C" w:rsidRPr="19C93153">
        <w:rPr>
          <w:rFonts w:ascii="Arial" w:eastAsia="Arial" w:hAnsi="Arial" w:cs="Arial"/>
          <w:b/>
          <w:bCs/>
        </w:rPr>
        <w:t>IMPLEMENTATION</w:t>
      </w:r>
    </w:p>
    <w:p w14:paraId="04F80824" w14:textId="77777777" w:rsidR="00325097" w:rsidRPr="006D031B" w:rsidRDefault="00325097" w:rsidP="00E2149D">
      <w:pPr>
        <w:jc w:val="both"/>
        <w:rPr>
          <w:rFonts w:ascii="Arial" w:hAnsi="Arial" w:cs="Arial"/>
          <w:b/>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8437"/>
      </w:tblGrid>
      <w:tr w:rsidR="0066656D" w14:paraId="38717D29" w14:textId="77777777" w:rsidTr="19C93153">
        <w:tc>
          <w:tcPr>
            <w:tcW w:w="9214" w:type="dxa"/>
            <w:gridSpan w:val="2"/>
            <w:tcBorders>
              <w:top w:val="single" w:sz="4" w:space="0" w:color="auto"/>
              <w:left w:val="single" w:sz="4" w:space="0" w:color="auto"/>
              <w:bottom w:val="single" w:sz="4" w:space="0" w:color="auto"/>
              <w:right w:val="single" w:sz="4" w:space="0" w:color="auto"/>
            </w:tcBorders>
          </w:tcPr>
          <w:p w14:paraId="0635F747" w14:textId="77777777" w:rsidR="0066656D" w:rsidRPr="00DE2DD7" w:rsidRDefault="19C93153" w:rsidP="19C93153">
            <w:pPr>
              <w:pStyle w:val="Header"/>
              <w:jc w:val="center"/>
              <w:rPr>
                <w:rFonts w:ascii="Arial" w:eastAsia="Arial" w:hAnsi="Arial" w:cs="Arial"/>
                <w:b/>
                <w:bCs/>
                <w:lang w:val="en-GB" w:eastAsia="en-GB"/>
              </w:rPr>
            </w:pPr>
            <w:r w:rsidRPr="19C93153">
              <w:rPr>
                <w:rFonts w:ascii="Arial" w:eastAsia="Arial" w:hAnsi="Arial" w:cs="Arial"/>
                <w:b/>
                <w:bCs/>
                <w:lang w:val="en-GB" w:eastAsia="en-GB"/>
              </w:rPr>
              <w:t>CONTENTS OF SECTION</w:t>
            </w:r>
          </w:p>
        </w:tc>
      </w:tr>
      <w:tr w:rsidR="0066656D" w14:paraId="486BF742" w14:textId="77777777" w:rsidTr="19C93153">
        <w:tc>
          <w:tcPr>
            <w:tcW w:w="567" w:type="dxa"/>
            <w:tcBorders>
              <w:top w:val="single" w:sz="4" w:space="0" w:color="auto"/>
              <w:left w:val="single" w:sz="4" w:space="0" w:color="auto"/>
              <w:bottom w:val="single" w:sz="4" w:space="0" w:color="auto"/>
              <w:right w:val="single" w:sz="4" w:space="0" w:color="auto"/>
            </w:tcBorders>
          </w:tcPr>
          <w:p w14:paraId="6F0586D3" w14:textId="77777777" w:rsidR="0066656D" w:rsidRPr="00DE2DD7" w:rsidRDefault="19C93153" w:rsidP="19C93153">
            <w:pPr>
              <w:pStyle w:val="Header"/>
              <w:jc w:val="both"/>
              <w:rPr>
                <w:rFonts w:ascii="Arial" w:eastAsia="Arial" w:hAnsi="Arial" w:cs="Arial"/>
                <w:b/>
                <w:bCs/>
                <w:lang w:val="en-GB" w:eastAsia="en-GB"/>
              </w:rPr>
            </w:pPr>
            <w:r w:rsidRPr="19C93153">
              <w:rPr>
                <w:rFonts w:ascii="Arial" w:eastAsia="Arial" w:hAnsi="Arial" w:cs="Arial"/>
                <w:b/>
                <w:bCs/>
                <w:sz w:val="22"/>
                <w:szCs w:val="22"/>
                <w:lang w:val="en-GB" w:eastAsia="en-GB"/>
              </w:rPr>
              <w:t>6.1</w:t>
            </w:r>
          </w:p>
        </w:tc>
        <w:tc>
          <w:tcPr>
            <w:tcW w:w="8647" w:type="dxa"/>
            <w:tcBorders>
              <w:top w:val="single" w:sz="4" w:space="0" w:color="auto"/>
              <w:left w:val="single" w:sz="4" w:space="0" w:color="auto"/>
              <w:bottom w:val="single" w:sz="4" w:space="0" w:color="auto"/>
              <w:right w:val="single" w:sz="4" w:space="0" w:color="auto"/>
            </w:tcBorders>
          </w:tcPr>
          <w:p w14:paraId="15CCAACB" w14:textId="77777777" w:rsidR="0066656D" w:rsidRPr="006A1A48" w:rsidRDefault="19C93153" w:rsidP="19C93153">
            <w:pPr>
              <w:tabs>
                <w:tab w:val="left" w:pos="709"/>
              </w:tabs>
              <w:jc w:val="both"/>
              <w:rPr>
                <w:rFonts w:ascii="Arial" w:eastAsia="Arial" w:hAnsi="Arial" w:cs="Arial"/>
                <w:b/>
                <w:bCs/>
              </w:rPr>
            </w:pPr>
            <w:r w:rsidRPr="19C93153">
              <w:rPr>
                <w:rFonts w:ascii="Arial" w:eastAsia="Arial" w:hAnsi="Arial" w:cs="Arial"/>
                <w:b/>
                <w:bCs/>
                <w:sz w:val="22"/>
                <w:szCs w:val="22"/>
              </w:rPr>
              <w:t>DUTY OF CANDOUR PROCESS</w:t>
            </w:r>
          </w:p>
        </w:tc>
      </w:tr>
      <w:tr w:rsidR="0040620B" w14:paraId="3292800F" w14:textId="77777777" w:rsidTr="19C93153">
        <w:tc>
          <w:tcPr>
            <w:tcW w:w="567" w:type="dxa"/>
            <w:tcBorders>
              <w:top w:val="single" w:sz="4" w:space="0" w:color="auto"/>
              <w:left w:val="single" w:sz="4" w:space="0" w:color="auto"/>
              <w:bottom w:val="single" w:sz="4" w:space="0" w:color="auto"/>
              <w:right w:val="single" w:sz="4" w:space="0" w:color="auto"/>
            </w:tcBorders>
          </w:tcPr>
          <w:p w14:paraId="536EAC37" w14:textId="77777777" w:rsidR="0040620B" w:rsidRPr="00037AC6" w:rsidRDefault="19C93153" w:rsidP="19C93153">
            <w:pPr>
              <w:pStyle w:val="BodyText"/>
              <w:jc w:val="both"/>
              <w:rPr>
                <w:rFonts w:ascii="Arial" w:eastAsia="Arial" w:hAnsi="Arial" w:cs="Arial"/>
              </w:rPr>
            </w:pPr>
            <w:r w:rsidRPr="19C93153">
              <w:rPr>
                <w:rFonts w:ascii="Arial" w:eastAsia="Arial" w:hAnsi="Arial" w:cs="Arial"/>
                <w:sz w:val="22"/>
                <w:szCs w:val="22"/>
              </w:rPr>
              <w:t>6.2</w:t>
            </w:r>
          </w:p>
        </w:tc>
        <w:tc>
          <w:tcPr>
            <w:tcW w:w="8647" w:type="dxa"/>
            <w:tcBorders>
              <w:top w:val="single" w:sz="4" w:space="0" w:color="auto"/>
              <w:left w:val="single" w:sz="4" w:space="0" w:color="auto"/>
              <w:bottom w:val="single" w:sz="4" w:space="0" w:color="auto"/>
              <w:right w:val="single" w:sz="4" w:space="0" w:color="auto"/>
            </w:tcBorders>
          </w:tcPr>
          <w:p w14:paraId="4FA810A3" w14:textId="77777777" w:rsidR="0040620B" w:rsidRPr="00037AC6" w:rsidRDefault="19C93153" w:rsidP="19C93153">
            <w:pPr>
              <w:pStyle w:val="BodyText"/>
              <w:jc w:val="both"/>
              <w:rPr>
                <w:rFonts w:ascii="Arial" w:eastAsia="Arial" w:hAnsi="Arial" w:cs="Arial"/>
                <w:b w:val="0"/>
              </w:rPr>
            </w:pPr>
            <w:r w:rsidRPr="19C93153">
              <w:rPr>
                <w:rFonts w:ascii="Arial" w:eastAsia="Arial" w:hAnsi="Arial" w:cs="Arial"/>
                <w:sz w:val="22"/>
                <w:szCs w:val="22"/>
              </w:rPr>
              <w:t>RESPONSIBILITIES IN THIS ORGANISATION</w:t>
            </w:r>
          </w:p>
        </w:tc>
      </w:tr>
      <w:tr w:rsidR="0040620B" w14:paraId="20038D9E" w14:textId="77777777" w:rsidTr="19C93153">
        <w:tc>
          <w:tcPr>
            <w:tcW w:w="567" w:type="dxa"/>
            <w:tcBorders>
              <w:top w:val="single" w:sz="4" w:space="0" w:color="auto"/>
              <w:left w:val="single" w:sz="4" w:space="0" w:color="auto"/>
              <w:bottom w:val="single" w:sz="4" w:space="0" w:color="auto"/>
              <w:right w:val="single" w:sz="4" w:space="0" w:color="auto"/>
            </w:tcBorders>
          </w:tcPr>
          <w:p w14:paraId="75324270" w14:textId="77777777" w:rsidR="0040620B" w:rsidRPr="00803605" w:rsidRDefault="19C93153" w:rsidP="19C93153">
            <w:pPr>
              <w:pStyle w:val="BodyText"/>
              <w:jc w:val="both"/>
              <w:rPr>
                <w:rFonts w:ascii="Arial" w:eastAsia="Arial" w:hAnsi="Arial" w:cs="Arial"/>
              </w:rPr>
            </w:pPr>
            <w:r w:rsidRPr="19C93153">
              <w:rPr>
                <w:rFonts w:ascii="Arial" w:eastAsia="Arial" w:hAnsi="Arial" w:cs="Arial"/>
                <w:sz w:val="22"/>
                <w:szCs w:val="22"/>
              </w:rPr>
              <w:t>6.3</w:t>
            </w:r>
          </w:p>
        </w:tc>
        <w:tc>
          <w:tcPr>
            <w:tcW w:w="8647" w:type="dxa"/>
            <w:tcBorders>
              <w:top w:val="single" w:sz="4" w:space="0" w:color="auto"/>
              <w:left w:val="single" w:sz="4" w:space="0" w:color="auto"/>
              <w:bottom w:val="single" w:sz="4" w:space="0" w:color="auto"/>
              <w:right w:val="single" w:sz="4" w:space="0" w:color="auto"/>
            </w:tcBorders>
          </w:tcPr>
          <w:p w14:paraId="4E5B2B5C" w14:textId="77777777" w:rsidR="0040620B" w:rsidRPr="00803605" w:rsidRDefault="19C93153" w:rsidP="19C93153">
            <w:pPr>
              <w:pStyle w:val="BodyText"/>
              <w:jc w:val="both"/>
              <w:rPr>
                <w:rFonts w:ascii="Arial" w:eastAsia="Arial" w:hAnsi="Arial" w:cs="Arial"/>
              </w:rPr>
            </w:pPr>
            <w:r w:rsidRPr="19C93153">
              <w:rPr>
                <w:rFonts w:ascii="Arial" w:eastAsia="Arial" w:hAnsi="Arial" w:cs="Arial"/>
                <w:sz w:val="22"/>
                <w:szCs w:val="22"/>
              </w:rPr>
              <w:t>RELATED POLICY</w:t>
            </w:r>
          </w:p>
        </w:tc>
      </w:tr>
      <w:tr w:rsidR="0040620B" w14:paraId="7EEE0585" w14:textId="77777777" w:rsidTr="19C93153">
        <w:trPr>
          <w:trHeight w:val="222"/>
        </w:trPr>
        <w:tc>
          <w:tcPr>
            <w:tcW w:w="567" w:type="dxa"/>
            <w:tcBorders>
              <w:top w:val="single" w:sz="4" w:space="0" w:color="auto"/>
              <w:left w:val="single" w:sz="4" w:space="0" w:color="auto"/>
              <w:bottom w:val="single" w:sz="4" w:space="0" w:color="auto"/>
              <w:right w:val="single" w:sz="4" w:space="0" w:color="auto"/>
            </w:tcBorders>
          </w:tcPr>
          <w:p w14:paraId="65E0FA91" w14:textId="77777777" w:rsidR="0040620B" w:rsidRPr="0083798C" w:rsidRDefault="19C93153" w:rsidP="0040620B">
            <w:pPr>
              <w:pStyle w:val="CHead"/>
              <w:spacing w:before="0" w:after="0"/>
              <w:jc w:val="both"/>
            </w:pPr>
            <w:r w:rsidRPr="19C93153">
              <w:rPr>
                <w:sz w:val="22"/>
                <w:szCs w:val="22"/>
              </w:rPr>
              <w:t>6.4</w:t>
            </w:r>
          </w:p>
        </w:tc>
        <w:tc>
          <w:tcPr>
            <w:tcW w:w="8647" w:type="dxa"/>
            <w:tcBorders>
              <w:top w:val="single" w:sz="4" w:space="0" w:color="auto"/>
              <w:left w:val="single" w:sz="4" w:space="0" w:color="auto"/>
              <w:bottom w:val="single" w:sz="4" w:space="0" w:color="auto"/>
              <w:right w:val="single" w:sz="4" w:space="0" w:color="auto"/>
            </w:tcBorders>
          </w:tcPr>
          <w:p w14:paraId="6DE0FC86" w14:textId="77777777" w:rsidR="0040620B" w:rsidRPr="0083798C" w:rsidRDefault="19C93153" w:rsidP="0040620B">
            <w:pPr>
              <w:pStyle w:val="CHead"/>
              <w:spacing w:before="0" w:after="0"/>
              <w:jc w:val="both"/>
            </w:pPr>
            <w:r w:rsidRPr="19C93153">
              <w:rPr>
                <w:sz w:val="22"/>
                <w:szCs w:val="22"/>
              </w:rPr>
              <w:t>REVIEW</w:t>
            </w:r>
          </w:p>
        </w:tc>
      </w:tr>
      <w:tr w:rsidR="0040620B" w14:paraId="7F35D308" w14:textId="77777777" w:rsidTr="19C93153">
        <w:tc>
          <w:tcPr>
            <w:tcW w:w="567" w:type="dxa"/>
            <w:tcBorders>
              <w:top w:val="single" w:sz="4" w:space="0" w:color="auto"/>
              <w:left w:val="single" w:sz="4" w:space="0" w:color="auto"/>
              <w:bottom w:val="single" w:sz="4" w:space="0" w:color="auto"/>
              <w:right w:val="single" w:sz="4" w:space="0" w:color="auto"/>
            </w:tcBorders>
          </w:tcPr>
          <w:p w14:paraId="486DC348" w14:textId="77777777" w:rsidR="0040620B" w:rsidRPr="000A74EA" w:rsidRDefault="19C93153" w:rsidP="19C93153">
            <w:pPr>
              <w:jc w:val="both"/>
              <w:rPr>
                <w:rFonts w:ascii="Arial" w:eastAsia="Arial" w:hAnsi="Arial" w:cs="Arial"/>
                <w:b/>
                <w:bCs/>
              </w:rPr>
            </w:pPr>
            <w:r w:rsidRPr="19C93153">
              <w:rPr>
                <w:rFonts w:ascii="Arial" w:eastAsia="Arial" w:hAnsi="Arial" w:cs="Arial"/>
                <w:b/>
                <w:bCs/>
                <w:sz w:val="22"/>
                <w:szCs w:val="22"/>
              </w:rPr>
              <w:t>6.5</w:t>
            </w:r>
          </w:p>
        </w:tc>
        <w:tc>
          <w:tcPr>
            <w:tcW w:w="8647" w:type="dxa"/>
            <w:tcBorders>
              <w:top w:val="single" w:sz="4" w:space="0" w:color="auto"/>
              <w:left w:val="single" w:sz="4" w:space="0" w:color="auto"/>
              <w:bottom w:val="single" w:sz="4" w:space="0" w:color="auto"/>
              <w:right w:val="single" w:sz="4" w:space="0" w:color="auto"/>
            </w:tcBorders>
          </w:tcPr>
          <w:p w14:paraId="414B8DC1" w14:textId="77777777" w:rsidR="0040620B" w:rsidRPr="000A74EA" w:rsidRDefault="19C93153" w:rsidP="19C93153">
            <w:pPr>
              <w:jc w:val="both"/>
              <w:rPr>
                <w:rFonts w:ascii="Arial" w:eastAsia="Arial" w:hAnsi="Arial" w:cs="Arial"/>
                <w:b/>
                <w:bCs/>
              </w:rPr>
            </w:pPr>
            <w:r w:rsidRPr="19C93153">
              <w:rPr>
                <w:rFonts w:ascii="Arial" w:eastAsia="Arial" w:hAnsi="Arial" w:cs="Arial"/>
                <w:b/>
                <w:bCs/>
                <w:sz w:val="22"/>
                <w:szCs w:val="22"/>
              </w:rPr>
              <w:t xml:space="preserve">COMMUNICATION </w:t>
            </w:r>
          </w:p>
        </w:tc>
      </w:tr>
    </w:tbl>
    <w:p w14:paraId="3BAE87F6" w14:textId="77777777" w:rsidR="009A28F6" w:rsidRPr="006D031B" w:rsidRDefault="009A28F6" w:rsidP="00E2149D">
      <w:pPr>
        <w:tabs>
          <w:tab w:val="left" w:pos="3000"/>
        </w:tabs>
        <w:ind w:right="360"/>
        <w:jc w:val="both"/>
        <w:rPr>
          <w:rFonts w:ascii="Arial" w:hAnsi="Arial" w:cs="Arial"/>
          <w:color w:val="000000"/>
          <w:sz w:val="22"/>
          <w:szCs w:val="22"/>
          <w:lang w:val="en-US"/>
        </w:rPr>
      </w:pPr>
    </w:p>
    <w:p w14:paraId="4EB7D37F" w14:textId="77777777" w:rsidR="00E2149D" w:rsidRDefault="00E2149D" w:rsidP="00E2149D">
      <w:pPr>
        <w:tabs>
          <w:tab w:val="left" w:pos="1697"/>
        </w:tabs>
        <w:jc w:val="both"/>
        <w:rPr>
          <w:rFonts w:ascii="Arial" w:hAnsi="Arial" w:cs="Arial"/>
          <w:b/>
          <w:sz w:val="22"/>
          <w:szCs w:val="22"/>
        </w:rPr>
      </w:pPr>
    </w:p>
    <w:p w14:paraId="61C8F4D6" w14:textId="77777777" w:rsidR="00E2149D" w:rsidRDefault="00E2149D" w:rsidP="00E2149D">
      <w:pPr>
        <w:tabs>
          <w:tab w:val="left" w:pos="1697"/>
        </w:tabs>
        <w:jc w:val="both"/>
        <w:rPr>
          <w:rFonts w:ascii="Arial" w:hAnsi="Arial" w:cs="Arial"/>
          <w:b/>
          <w:sz w:val="22"/>
          <w:szCs w:val="22"/>
        </w:rPr>
      </w:pPr>
    </w:p>
    <w:p w14:paraId="26C0BC6E" w14:textId="77777777" w:rsidR="00E2149D" w:rsidRDefault="00E2149D" w:rsidP="00E2149D">
      <w:pPr>
        <w:tabs>
          <w:tab w:val="left" w:pos="1697"/>
        </w:tabs>
        <w:jc w:val="both"/>
        <w:rPr>
          <w:rFonts w:ascii="Arial" w:hAnsi="Arial" w:cs="Arial"/>
          <w:b/>
          <w:sz w:val="22"/>
          <w:szCs w:val="22"/>
        </w:rPr>
      </w:pPr>
    </w:p>
    <w:p w14:paraId="21BFDD75" w14:textId="77777777" w:rsidR="00E2149D" w:rsidRDefault="00E2149D" w:rsidP="00E2149D">
      <w:pPr>
        <w:tabs>
          <w:tab w:val="left" w:pos="1697"/>
        </w:tabs>
        <w:jc w:val="both"/>
        <w:rPr>
          <w:rFonts w:ascii="Arial" w:hAnsi="Arial" w:cs="Arial"/>
          <w:b/>
          <w:sz w:val="22"/>
          <w:szCs w:val="22"/>
        </w:rPr>
      </w:pPr>
    </w:p>
    <w:p w14:paraId="1EE9E1A1" w14:textId="77777777" w:rsidR="00325097" w:rsidRPr="00325097" w:rsidRDefault="00E2149D" w:rsidP="19C93153">
      <w:pPr>
        <w:tabs>
          <w:tab w:val="left" w:pos="709"/>
        </w:tabs>
        <w:jc w:val="both"/>
        <w:rPr>
          <w:rFonts w:ascii="Arial" w:eastAsia="Arial" w:hAnsi="Arial" w:cs="Arial"/>
          <w:b/>
          <w:bCs/>
          <w:sz w:val="22"/>
          <w:szCs w:val="22"/>
        </w:rPr>
      </w:pPr>
      <w:r w:rsidRPr="19C93153">
        <w:rPr>
          <w:rFonts w:ascii="Arial" w:eastAsia="Arial" w:hAnsi="Arial" w:cs="Arial"/>
          <w:b/>
          <w:bCs/>
          <w:sz w:val="22"/>
          <w:szCs w:val="22"/>
        </w:rPr>
        <w:lastRenderedPageBreak/>
        <w:t>6.1</w:t>
      </w:r>
      <w:r>
        <w:rPr>
          <w:rFonts w:ascii="Arial" w:hAnsi="Arial" w:cs="Arial"/>
          <w:b/>
          <w:sz w:val="22"/>
          <w:szCs w:val="22"/>
        </w:rPr>
        <w:tab/>
      </w:r>
      <w:r w:rsidR="00325097" w:rsidRPr="19C93153">
        <w:rPr>
          <w:rFonts w:ascii="Arial" w:eastAsia="Arial" w:hAnsi="Arial" w:cs="Arial"/>
          <w:b/>
          <w:bCs/>
          <w:sz w:val="22"/>
          <w:szCs w:val="22"/>
        </w:rPr>
        <w:t>DUTY OF CANDOUR PROCESS</w:t>
      </w:r>
    </w:p>
    <w:p w14:paraId="5CD51541" w14:textId="77777777" w:rsidR="00325097" w:rsidRDefault="00325097" w:rsidP="00E2149D">
      <w:pPr>
        <w:tabs>
          <w:tab w:val="left" w:pos="1697"/>
        </w:tabs>
        <w:jc w:val="both"/>
        <w:rPr>
          <w:rFonts w:ascii="Arial" w:hAnsi="Arial" w:cs="Arial"/>
          <w:sz w:val="22"/>
          <w:szCs w:val="22"/>
        </w:rPr>
      </w:pPr>
    </w:p>
    <w:p w14:paraId="595EF0DF" w14:textId="77777777" w:rsidR="00545BA7" w:rsidRDefault="00E2149D" w:rsidP="19C93153">
      <w:pPr>
        <w:pStyle w:val="BodyText"/>
        <w:ind w:left="720" w:hanging="720"/>
        <w:jc w:val="both"/>
        <w:rPr>
          <w:rFonts w:ascii="Arial" w:eastAsia="Arial" w:hAnsi="Arial" w:cs="Arial"/>
          <w:b w:val="0"/>
          <w:sz w:val="22"/>
          <w:szCs w:val="22"/>
        </w:rPr>
      </w:pPr>
      <w:r w:rsidRPr="19C93153">
        <w:rPr>
          <w:rFonts w:ascii="Arial" w:eastAsia="Arial" w:hAnsi="Arial" w:cs="Arial"/>
          <w:b w:val="0"/>
          <w:sz w:val="22"/>
          <w:szCs w:val="22"/>
        </w:rPr>
        <w:t>6.1.1</w:t>
      </w:r>
      <w:r>
        <w:rPr>
          <w:rFonts w:ascii="Arial" w:hAnsi="Arial" w:cs="Arial"/>
          <w:b w:val="0"/>
          <w:sz w:val="22"/>
          <w:szCs w:val="22"/>
        </w:rPr>
        <w:tab/>
      </w:r>
      <w:r w:rsidR="00545BA7" w:rsidRPr="19C93153">
        <w:rPr>
          <w:rFonts w:ascii="Arial" w:eastAsia="Arial" w:hAnsi="Arial" w:cs="Arial"/>
          <w:b w:val="0"/>
          <w:sz w:val="22"/>
          <w:szCs w:val="22"/>
        </w:rPr>
        <w:t xml:space="preserve">The “statutory </w:t>
      </w:r>
      <w:bookmarkStart w:id="4" w:name="LPHit13"/>
      <w:bookmarkEnd w:id="4"/>
      <w:r w:rsidR="00545BA7" w:rsidRPr="19C93153">
        <w:rPr>
          <w:rFonts w:ascii="Arial" w:eastAsia="Arial" w:hAnsi="Arial" w:cs="Arial"/>
          <w:b w:val="0"/>
          <w:sz w:val="22"/>
          <w:szCs w:val="22"/>
        </w:rPr>
        <w:t xml:space="preserve">duty </w:t>
      </w:r>
      <w:bookmarkStart w:id="5" w:name="LPHit14"/>
      <w:bookmarkEnd w:id="5"/>
      <w:r w:rsidR="00545BA7" w:rsidRPr="19C93153">
        <w:rPr>
          <w:rFonts w:ascii="Arial" w:eastAsia="Arial" w:hAnsi="Arial" w:cs="Arial"/>
          <w:b w:val="0"/>
          <w:sz w:val="22"/>
          <w:szCs w:val="22"/>
        </w:rPr>
        <w:t xml:space="preserve">of </w:t>
      </w:r>
      <w:bookmarkStart w:id="6" w:name="LPHit15"/>
      <w:bookmarkEnd w:id="6"/>
      <w:r w:rsidR="00545BA7" w:rsidRPr="19C93153">
        <w:rPr>
          <w:rFonts w:ascii="Arial" w:eastAsia="Arial" w:hAnsi="Arial" w:cs="Arial"/>
          <w:b w:val="0"/>
          <w:sz w:val="22"/>
          <w:szCs w:val="22"/>
        </w:rPr>
        <w:t xml:space="preserve">candour for health and adult social care providers” consultation document set out the proposals to impose the </w:t>
      </w:r>
      <w:bookmarkStart w:id="7" w:name="LPHit16"/>
      <w:bookmarkEnd w:id="7"/>
      <w:r w:rsidR="00545BA7" w:rsidRPr="19C93153">
        <w:rPr>
          <w:rFonts w:ascii="Arial" w:eastAsia="Arial" w:hAnsi="Arial" w:cs="Arial"/>
          <w:b w:val="0"/>
          <w:sz w:val="22"/>
          <w:szCs w:val="22"/>
        </w:rPr>
        <w:t xml:space="preserve">Duty </w:t>
      </w:r>
      <w:bookmarkStart w:id="8" w:name="LPHit17"/>
      <w:bookmarkEnd w:id="8"/>
      <w:r w:rsidR="00545BA7" w:rsidRPr="19C93153">
        <w:rPr>
          <w:rFonts w:ascii="Arial" w:eastAsia="Arial" w:hAnsi="Arial" w:cs="Arial"/>
          <w:b w:val="0"/>
          <w:sz w:val="22"/>
          <w:szCs w:val="22"/>
        </w:rPr>
        <w:t xml:space="preserve">of </w:t>
      </w:r>
      <w:bookmarkStart w:id="9" w:name="LPHit18"/>
      <w:bookmarkEnd w:id="9"/>
      <w:r w:rsidR="00545BA7" w:rsidRPr="19C93153">
        <w:rPr>
          <w:rFonts w:ascii="Arial" w:eastAsia="Arial" w:hAnsi="Arial" w:cs="Arial"/>
          <w:b w:val="0"/>
          <w:sz w:val="22"/>
          <w:szCs w:val="22"/>
        </w:rPr>
        <w:t>Candour on all providers where any harm to a service user from their care or treatment is above a certain harm threshold.</w:t>
      </w:r>
    </w:p>
    <w:p w14:paraId="3A0FDA54" w14:textId="77777777" w:rsidR="00545BA7" w:rsidRPr="00D07625" w:rsidRDefault="00545BA7" w:rsidP="00E2149D">
      <w:pPr>
        <w:pStyle w:val="BodyText"/>
        <w:jc w:val="both"/>
        <w:rPr>
          <w:rFonts w:ascii="Arial" w:hAnsi="Arial" w:cs="Arial"/>
          <w:b w:val="0"/>
          <w:sz w:val="22"/>
          <w:szCs w:val="22"/>
        </w:rPr>
      </w:pPr>
    </w:p>
    <w:p w14:paraId="3D016698" w14:textId="77777777" w:rsidR="00545BA7" w:rsidRPr="00D07625" w:rsidRDefault="00E2149D" w:rsidP="19C93153">
      <w:pPr>
        <w:pStyle w:val="BodyText"/>
        <w:ind w:left="720" w:hanging="720"/>
        <w:jc w:val="both"/>
        <w:rPr>
          <w:rFonts w:ascii="Arial" w:eastAsia="Arial" w:hAnsi="Arial" w:cs="Arial"/>
          <w:b w:val="0"/>
          <w:sz w:val="22"/>
          <w:szCs w:val="22"/>
        </w:rPr>
      </w:pPr>
      <w:r w:rsidRPr="19C93153">
        <w:rPr>
          <w:rFonts w:ascii="Arial" w:eastAsia="Arial" w:hAnsi="Arial" w:cs="Arial"/>
          <w:b w:val="0"/>
          <w:sz w:val="22"/>
          <w:szCs w:val="22"/>
        </w:rPr>
        <w:t>6.1.2</w:t>
      </w:r>
      <w:r>
        <w:rPr>
          <w:rFonts w:ascii="Arial" w:hAnsi="Arial" w:cs="Arial"/>
          <w:b w:val="0"/>
          <w:sz w:val="22"/>
          <w:szCs w:val="22"/>
        </w:rPr>
        <w:tab/>
      </w:r>
      <w:r w:rsidR="00545BA7" w:rsidRPr="19C93153">
        <w:rPr>
          <w:rFonts w:ascii="Arial" w:eastAsia="Arial" w:hAnsi="Arial" w:cs="Arial"/>
          <w:b w:val="0"/>
          <w:sz w:val="22"/>
          <w:szCs w:val="22"/>
        </w:rPr>
        <w:t>Where the harm threshold is breached providers will need to follow specific reporting requirements, such as notifying the service user and including an apology, providing all information directly relevant to the incident, and providing reasonable support to the service user.</w:t>
      </w:r>
    </w:p>
    <w:p w14:paraId="768B46C4" w14:textId="77777777" w:rsidR="00545BA7" w:rsidRDefault="00545BA7" w:rsidP="00E2149D">
      <w:pPr>
        <w:pStyle w:val="BodyText"/>
        <w:jc w:val="both"/>
        <w:rPr>
          <w:rFonts w:ascii="Arial" w:hAnsi="Arial" w:cs="Arial"/>
          <w:b w:val="0"/>
          <w:sz w:val="22"/>
          <w:szCs w:val="22"/>
        </w:rPr>
      </w:pPr>
    </w:p>
    <w:p w14:paraId="73DC48E8" w14:textId="77777777" w:rsidR="00545BA7" w:rsidRDefault="00E2149D" w:rsidP="19C93153">
      <w:pPr>
        <w:pStyle w:val="BodyText"/>
        <w:ind w:left="720" w:hanging="720"/>
        <w:jc w:val="both"/>
        <w:rPr>
          <w:rFonts w:ascii="Arial" w:eastAsia="Arial" w:hAnsi="Arial" w:cs="Arial"/>
          <w:b w:val="0"/>
          <w:sz w:val="22"/>
          <w:szCs w:val="22"/>
        </w:rPr>
      </w:pPr>
      <w:r w:rsidRPr="19C93153">
        <w:rPr>
          <w:rFonts w:ascii="Arial" w:eastAsia="Arial" w:hAnsi="Arial" w:cs="Arial"/>
          <w:b w:val="0"/>
          <w:sz w:val="22"/>
          <w:szCs w:val="22"/>
        </w:rPr>
        <w:t>6.1.3</w:t>
      </w:r>
      <w:r>
        <w:rPr>
          <w:rFonts w:ascii="Arial" w:hAnsi="Arial" w:cs="Arial"/>
          <w:b w:val="0"/>
          <w:sz w:val="22"/>
          <w:szCs w:val="22"/>
        </w:rPr>
        <w:tab/>
      </w:r>
      <w:r w:rsidR="00545BA7" w:rsidRPr="19C93153">
        <w:rPr>
          <w:rFonts w:ascii="Arial" w:eastAsia="Arial" w:hAnsi="Arial" w:cs="Arial"/>
          <w:b w:val="0"/>
          <w:sz w:val="22"/>
          <w:szCs w:val="22"/>
        </w:rPr>
        <w:t xml:space="preserve">This organisation fully supports a culture of openness and transparency in </w:t>
      </w:r>
      <w:proofErr w:type="gramStart"/>
      <w:r w:rsidR="00545BA7" w:rsidRPr="19C93153">
        <w:rPr>
          <w:rFonts w:ascii="Arial" w:eastAsia="Arial" w:hAnsi="Arial" w:cs="Arial"/>
          <w:b w:val="0"/>
          <w:sz w:val="22"/>
          <w:szCs w:val="22"/>
        </w:rPr>
        <w:t>all of</w:t>
      </w:r>
      <w:proofErr w:type="gramEnd"/>
      <w:r w:rsidR="00545BA7" w:rsidRPr="19C93153">
        <w:rPr>
          <w:rFonts w:ascii="Arial" w:eastAsia="Arial" w:hAnsi="Arial" w:cs="Arial"/>
          <w:b w:val="0"/>
          <w:sz w:val="22"/>
          <w:szCs w:val="22"/>
        </w:rPr>
        <w:t xml:space="preserve"> its dealings with service users and their relatives or representatives. In this respect it welcomes the proposed Duty of Candour and embraces the philosophy behind the new duty.  </w:t>
      </w:r>
    </w:p>
    <w:p w14:paraId="183B3504" w14:textId="77777777" w:rsidR="00545BA7" w:rsidRPr="00D97894" w:rsidRDefault="00545BA7" w:rsidP="00E2149D">
      <w:pPr>
        <w:pStyle w:val="BodyText"/>
        <w:jc w:val="both"/>
        <w:rPr>
          <w:rFonts w:ascii="Arial" w:hAnsi="Arial" w:cs="Arial"/>
          <w:b w:val="0"/>
          <w:sz w:val="22"/>
          <w:szCs w:val="22"/>
        </w:rPr>
      </w:pPr>
    </w:p>
    <w:p w14:paraId="5A3C9B3B" w14:textId="77777777" w:rsidR="00545BA7" w:rsidRPr="00D97894" w:rsidRDefault="00E2149D" w:rsidP="19C93153">
      <w:pPr>
        <w:pStyle w:val="BodyText"/>
        <w:ind w:left="720" w:hanging="720"/>
        <w:jc w:val="both"/>
        <w:rPr>
          <w:rFonts w:ascii="Arial" w:eastAsia="Arial" w:hAnsi="Arial" w:cs="Arial"/>
          <w:b w:val="0"/>
          <w:sz w:val="22"/>
          <w:szCs w:val="22"/>
        </w:rPr>
      </w:pPr>
      <w:r w:rsidRPr="19C93153">
        <w:rPr>
          <w:rFonts w:ascii="Arial" w:eastAsia="Arial" w:hAnsi="Arial" w:cs="Arial"/>
          <w:b w:val="0"/>
          <w:sz w:val="22"/>
          <w:szCs w:val="22"/>
        </w:rPr>
        <w:t>6.1.4</w:t>
      </w:r>
      <w:r>
        <w:rPr>
          <w:rFonts w:ascii="Arial" w:hAnsi="Arial" w:cs="Arial"/>
          <w:b w:val="0"/>
          <w:sz w:val="22"/>
          <w:szCs w:val="22"/>
        </w:rPr>
        <w:tab/>
      </w:r>
      <w:r w:rsidR="00545BA7" w:rsidRPr="19C93153">
        <w:rPr>
          <w:rFonts w:ascii="Arial" w:eastAsia="Arial" w:hAnsi="Arial" w:cs="Arial"/>
          <w:b w:val="0"/>
          <w:sz w:val="22"/>
          <w:szCs w:val="22"/>
        </w:rPr>
        <w:t xml:space="preserve">The organisation believes that being open and promoting a culture of openness and truthfulness is a prerequisite to providing safe, high quality care. The organisation has a well-developed framework for incident reporting which it expects all staff to comply with and always </w:t>
      </w:r>
      <w:proofErr w:type="gramStart"/>
      <w:r w:rsidR="00545BA7" w:rsidRPr="19C93153">
        <w:rPr>
          <w:rFonts w:ascii="Arial" w:eastAsia="Arial" w:hAnsi="Arial" w:cs="Arial"/>
          <w:b w:val="0"/>
          <w:sz w:val="22"/>
          <w:szCs w:val="22"/>
        </w:rPr>
        <w:t>strives to provide the highest standards of care at all times</w:t>
      </w:r>
      <w:proofErr w:type="gramEnd"/>
      <w:r w:rsidR="00545BA7" w:rsidRPr="19C93153">
        <w:rPr>
          <w:rFonts w:ascii="Arial" w:eastAsia="Arial" w:hAnsi="Arial" w:cs="Arial"/>
          <w:b w:val="0"/>
          <w:sz w:val="22"/>
          <w:szCs w:val="22"/>
        </w:rPr>
        <w:t xml:space="preserve">. It believes that, in the event of these standards not being met, it should apologise sincerely to the service users concerned and provide a full explanation as to what went wrong and why. </w:t>
      </w:r>
    </w:p>
    <w:p w14:paraId="25BDD09B" w14:textId="77777777" w:rsidR="00545BA7" w:rsidRDefault="00545BA7" w:rsidP="00E2149D">
      <w:pPr>
        <w:pStyle w:val="BodyText"/>
        <w:jc w:val="both"/>
        <w:rPr>
          <w:rFonts w:ascii="Arial" w:hAnsi="Arial" w:cs="Arial"/>
          <w:b w:val="0"/>
          <w:sz w:val="22"/>
          <w:szCs w:val="22"/>
        </w:rPr>
      </w:pPr>
    </w:p>
    <w:p w14:paraId="19A0790B" w14:textId="77777777" w:rsidR="00545BA7" w:rsidRDefault="00E2149D" w:rsidP="19C93153">
      <w:pPr>
        <w:pStyle w:val="BodyText"/>
        <w:jc w:val="both"/>
        <w:rPr>
          <w:rFonts w:ascii="Arial" w:eastAsia="Arial" w:hAnsi="Arial" w:cs="Arial"/>
          <w:b w:val="0"/>
          <w:sz w:val="22"/>
          <w:szCs w:val="22"/>
        </w:rPr>
      </w:pPr>
      <w:r w:rsidRPr="19C93153">
        <w:rPr>
          <w:rFonts w:ascii="Arial" w:eastAsia="Arial" w:hAnsi="Arial" w:cs="Arial"/>
          <w:sz w:val="22"/>
          <w:szCs w:val="22"/>
        </w:rPr>
        <w:t>6.2</w:t>
      </w:r>
      <w:r>
        <w:rPr>
          <w:rFonts w:ascii="Arial" w:hAnsi="Arial" w:cs="Arial"/>
          <w:sz w:val="22"/>
          <w:szCs w:val="22"/>
        </w:rPr>
        <w:tab/>
      </w:r>
      <w:r w:rsidR="00545BA7" w:rsidRPr="19C93153">
        <w:rPr>
          <w:rFonts w:ascii="Arial" w:eastAsia="Arial" w:hAnsi="Arial" w:cs="Arial"/>
          <w:sz w:val="22"/>
          <w:szCs w:val="22"/>
        </w:rPr>
        <w:t>RESPONSIBILITIES IN THIS ORGANISATION</w:t>
      </w:r>
    </w:p>
    <w:p w14:paraId="2BFEA5C6" w14:textId="77777777" w:rsidR="00545BA7" w:rsidRPr="00D97894" w:rsidRDefault="00545BA7" w:rsidP="00E2149D">
      <w:pPr>
        <w:pStyle w:val="BodyText"/>
        <w:jc w:val="both"/>
        <w:rPr>
          <w:rFonts w:ascii="Arial" w:hAnsi="Arial" w:cs="Arial"/>
          <w:b w:val="0"/>
          <w:sz w:val="22"/>
          <w:szCs w:val="22"/>
        </w:rPr>
      </w:pPr>
    </w:p>
    <w:p w14:paraId="4FC2D34D" w14:textId="77777777" w:rsidR="00545BA7" w:rsidRDefault="00E2149D" w:rsidP="19C93153">
      <w:pPr>
        <w:pStyle w:val="BodyText"/>
        <w:ind w:left="720" w:hanging="720"/>
        <w:jc w:val="both"/>
        <w:rPr>
          <w:rFonts w:ascii="Arial" w:eastAsia="Arial" w:hAnsi="Arial" w:cs="Arial"/>
          <w:b w:val="0"/>
          <w:sz w:val="22"/>
          <w:szCs w:val="22"/>
        </w:rPr>
      </w:pPr>
      <w:r w:rsidRPr="19C93153">
        <w:rPr>
          <w:rFonts w:ascii="Arial" w:eastAsia="Arial" w:hAnsi="Arial" w:cs="Arial"/>
          <w:b w:val="0"/>
          <w:sz w:val="22"/>
          <w:szCs w:val="22"/>
        </w:rPr>
        <w:t>6.2.1.</w:t>
      </w:r>
      <w:r>
        <w:rPr>
          <w:rFonts w:ascii="Arial" w:hAnsi="Arial" w:cs="Arial"/>
          <w:b w:val="0"/>
          <w:sz w:val="22"/>
          <w:szCs w:val="22"/>
        </w:rPr>
        <w:tab/>
      </w:r>
      <w:r w:rsidR="00545BA7" w:rsidRPr="19C93153">
        <w:rPr>
          <w:rFonts w:ascii="Arial" w:eastAsia="Arial" w:hAnsi="Arial" w:cs="Arial"/>
          <w:b w:val="0"/>
          <w:sz w:val="22"/>
          <w:szCs w:val="22"/>
        </w:rPr>
        <w:t xml:space="preserve">Managers and staff will be expected to develop and maintain an open, transparent, candid and honest working culture at all levels and </w:t>
      </w:r>
      <w:proofErr w:type="gramStart"/>
      <w:r w:rsidR="00545BA7" w:rsidRPr="19C93153">
        <w:rPr>
          <w:rFonts w:ascii="Arial" w:eastAsia="Arial" w:hAnsi="Arial" w:cs="Arial"/>
          <w:b w:val="0"/>
          <w:sz w:val="22"/>
          <w:szCs w:val="22"/>
        </w:rPr>
        <w:t>at all times</w:t>
      </w:r>
      <w:proofErr w:type="gramEnd"/>
      <w:r w:rsidR="00545BA7" w:rsidRPr="19C93153">
        <w:rPr>
          <w:rFonts w:ascii="Arial" w:eastAsia="Arial" w:hAnsi="Arial" w:cs="Arial"/>
          <w:b w:val="0"/>
          <w:sz w:val="22"/>
          <w:szCs w:val="22"/>
        </w:rPr>
        <w:t xml:space="preserve">. </w:t>
      </w:r>
    </w:p>
    <w:p w14:paraId="5A1468A6" w14:textId="77777777" w:rsidR="00720495" w:rsidRPr="00D97894" w:rsidRDefault="00720495" w:rsidP="00E2149D">
      <w:pPr>
        <w:pStyle w:val="BodyText"/>
        <w:jc w:val="both"/>
        <w:rPr>
          <w:rFonts w:ascii="Arial" w:hAnsi="Arial" w:cs="Arial"/>
          <w:b w:val="0"/>
          <w:sz w:val="22"/>
          <w:szCs w:val="22"/>
        </w:rPr>
      </w:pPr>
    </w:p>
    <w:p w14:paraId="40754AC0" w14:textId="77777777" w:rsidR="00545BA7" w:rsidRDefault="00E2149D" w:rsidP="19C93153">
      <w:pPr>
        <w:pStyle w:val="BodyText"/>
        <w:ind w:left="720" w:hanging="720"/>
        <w:jc w:val="both"/>
        <w:rPr>
          <w:rFonts w:ascii="Arial" w:eastAsia="Arial" w:hAnsi="Arial" w:cs="Arial"/>
          <w:b w:val="0"/>
          <w:sz w:val="22"/>
          <w:szCs w:val="22"/>
        </w:rPr>
      </w:pPr>
      <w:r w:rsidRPr="19C93153">
        <w:rPr>
          <w:rFonts w:ascii="Arial" w:eastAsia="Arial" w:hAnsi="Arial" w:cs="Arial"/>
          <w:b w:val="0"/>
          <w:sz w:val="22"/>
          <w:szCs w:val="22"/>
        </w:rPr>
        <w:t>6.2.2</w:t>
      </w:r>
      <w:r>
        <w:rPr>
          <w:rFonts w:ascii="Arial" w:hAnsi="Arial" w:cs="Arial"/>
          <w:b w:val="0"/>
          <w:sz w:val="22"/>
          <w:szCs w:val="22"/>
        </w:rPr>
        <w:tab/>
      </w:r>
      <w:r w:rsidR="00545BA7" w:rsidRPr="19C93153">
        <w:rPr>
          <w:rFonts w:ascii="Arial" w:eastAsia="Arial" w:hAnsi="Arial" w:cs="Arial"/>
          <w:b w:val="0"/>
          <w:sz w:val="22"/>
          <w:szCs w:val="22"/>
        </w:rPr>
        <w:t xml:space="preserve">The culture of honesty and transparency should include service users, their carers, relatives and representatives, and staff. Service users will be informed in a timely manner when </w:t>
      </w:r>
      <w:proofErr w:type="gramStart"/>
      <w:r w:rsidR="00545BA7" w:rsidRPr="19C93153">
        <w:rPr>
          <w:rFonts w:ascii="Arial" w:eastAsia="Arial" w:hAnsi="Arial" w:cs="Arial"/>
          <w:b w:val="0"/>
          <w:sz w:val="22"/>
          <w:szCs w:val="22"/>
        </w:rPr>
        <w:t>particular incidents</w:t>
      </w:r>
      <w:proofErr w:type="gramEnd"/>
      <w:r w:rsidR="00545BA7" w:rsidRPr="19C93153">
        <w:rPr>
          <w:rFonts w:ascii="Arial" w:eastAsia="Arial" w:hAnsi="Arial" w:cs="Arial"/>
          <w:b w:val="0"/>
          <w:sz w:val="22"/>
          <w:szCs w:val="22"/>
        </w:rPr>
        <w:t xml:space="preserve"> have occurred. </w:t>
      </w:r>
    </w:p>
    <w:p w14:paraId="2BE12A93" w14:textId="77777777" w:rsidR="00720495" w:rsidRPr="00D97894" w:rsidRDefault="00720495" w:rsidP="00E2149D">
      <w:pPr>
        <w:pStyle w:val="BodyText"/>
        <w:jc w:val="both"/>
        <w:rPr>
          <w:rFonts w:ascii="Arial" w:hAnsi="Arial" w:cs="Arial"/>
          <w:b w:val="0"/>
          <w:sz w:val="22"/>
          <w:szCs w:val="22"/>
        </w:rPr>
      </w:pPr>
    </w:p>
    <w:p w14:paraId="6B72FB18" w14:textId="77777777" w:rsidR="00545BA7" w:rsidRDefault="00E2149D" w:rsidP="19C93153">
      <w:pPr>
        <w:pStyle w:val="BodyText"/>
        <w:ind w:left="720" w:hanging="720"/>
        <w:jc w:val="both"/>
        <w:rPr>
          <w:rFonts w:ascii="Arial" w:eastAsia="Arial" w:hAnsi="Arial" w:cs="Arial"/>
          <w:b w:val="0"/>
          <w:sz w:val="22"/>
          <w:szCs w:val="22"/>
        </w:rPr>
      </w:pPr>
      <w:r w:rsidRPr="19C93153">
        <w:rPr>
          <w:rFonts w:ascii="Arial" w:eastAsia="Arial" w:hAnsi="Arial" w:cs="Arial"/>
          <w:b w:val="0"/>
          <w:sz w:val="22"/>
          <w:szCs w:val="22"/>
        </w:rPr>
        <w:t>6.2.3</w:t>
      </w:r>
      <w:r>
        <w:rPr>
          <w:rFonts w:ascii="Arial" w:hAnsi="Arial" w:cs="Arial"/>
          <w:b w:val="0"/>
          <w:sz w:val="22"/>
          <w:szCs w:val="22"/>
        </w:rPr>
        <w:tab/>
      </w:r>
      <w:r w:rsidR="00545BA7" w:rsidRPr="19C93153">
        <w:rPr>
          <w:rFonts w:ascii="Arial" w:eastAsia="Arial" w:hAnsi="Arial" w:cs="Arial"/>
          <w:b w:val="0"/>
          <w:sz w:val="22"/>
          <w:szCs w:val="22"/>
        </w:rPr>
        <w:t>Managers will provide a truthful account of the incident and an explanation about the enquiries and investigations that they will carry out.</w:t>
      </w:r>
      <w:r w:rsidR="00720495" w:rsidRPr="19C93153">
        <w:rPr>
          <w:rFonts w:ascii="Arial" w:eastAsia="Arial" w:hAnsi="Arial" w:cs="Arial"/>
          <w:b w:val="0"/>
          <w:sz w:val="22"/>
          <w:szCs w:val="22"/>
        </w:rPr>
        <w:t xml:space="preserve"> </w:t>
      </w:r>
      <w:r w:rsidR="00545BA7" w:rsidRPr="19C93153">
        <w:rPr>
          <w:rFonts w:ascii="Arial" w:eastAsia="Arial" w:hAnsi="Arial" w:cs="Arial"/>
          <w:b w:val="0"/>
          <w:sz w:val="22"/>
          <w:szCs w:val="22"/>
        </w:rPr>
        <w:t>A sincere apology will be offered in writing wherever appropriate.</w:t>
      </w:r>
    </w:p>
    <w:p w14:paraId="6887C7CB" w14:textId="77777777" w:rsidR="00720495" w:rsidRPr="00D97894" w:rsidRDefault="00720495" w:rsidP="00E2149D">
      <w:pPr>
        <w:pStyle w:val="BodyText"/>
        <w:jc w:val="both"/>
        <w:rPr>
          <w:rFonts w:ascii="Arial" w:hAnsi="Arial" w:cs="Arial"/>
          <w:b w:val="0"/>
          <w:sz w:val="22"/>
          <w:szCs w:val="22"/>
        </w:rPr>
      </w:pPr>
    </w:p>
    <w:p w14:paraId="4CE56C6D" w14:textId="77777777" w:rsidR="00545BA7" w:rsidRDefault="00E2149D" w:rsidP="19C93153">
      <w:pPr>
        <w:pStyle w:val="BodyText"/>
        <w:ind w:left="720" w:hanging="720"/>
        <w:jc w:val="both"/>
        <w:rPr>
          <w:rFonts w:ascii="Arial" w:eastAsia="Arial" w:hAnsi="Arial" w:cs="Arial"/>
          <w:b w:val="0"/>
          <w:sz w:val="22"/>
          <w:szCs w:val="22"/>
        </w:rPr>
      </w:pPr>
      <w:r w:rsidRPr="19C93153">
        <w:rPr>
          <w:rFonts w:ascii="Arial" w:eastAsia="Arial" w:hAnsi="Arial" w:cs="Arial"/>
          <w:b w:val="0"/>
          <w:sz w:val="22"/>
          <w:szCs w:val="22"/>
        </w:rPr>
        <w:t>6.2.4</w:t>
      </w:r>
      <w:r>
        <w:rPr>
          <w:rFonts w:ascii="Arial" w:hAnsi="Arial" w:cs="Arial"/>
          <w:b w:val="0"/>
          <w:sz w:val="22"/>
          <w:szCs w:val="22"/>
        </w:rPr>
        <w:tab/>
      </w:r>
      <w:r w:rsidR="00545BA7" w:rsidRPr="19C93153">
        <w:rPr>
          <w:rFonts w:ascii="Arial" w:eastAsia="Arial" w:hAnsi="Arial" w:cs="Arial"/>
          <w:b w:val="0"/>
          <w:sz w:val="22"/>
          <w:szCs w:val="22"/>
        </w:rPr>
        <w:t>Managers and staff will be expected to provide all reasonable support and assistance to those involved after any incident.</w:t>
      </w:r>
    </w:p>
    <w:p w14:paraId="315E303C" w14:textId="77777777" w:rsidR="00720495" w:rsidRPr="00D97894" w:rsidRDefault="00720495" w:rsidP="00E2149D">
      <w:pPr>
        <w:pStyle w:val="BodyText"/>
        <w:jc w:val="both"/>
        <w:rPr>
          <w:rFonts w:ascii="Arial" w:hAnsi="Arial" w:cs="Arial"/>
          <w:b w:val="0"/>
          <w:sz w:val="22"/>
          <w:szCs w:val="22"/>
        </w:rPr>
      </w:pPr>
    </w:p>
    <w:p w14:paraId="58C952F9" w14:textId="77777777" w:rsidR="00545BA7" w:rsidRDefault="00E2149D" w:rsidP="19C93153">
      <w:pPr>
        <w:pStyle w:val="BodyText"/>
        <w:ind w:left="720" w:hanging="720"/>
        <w:jc w:val="both"/>
        <w:rPr>
          <w:rFonts w:ascii="Arial" w:eastAsia="Arial" w:hAnsi="Arial" w:cs="Arial"/>
          <w:b w:val="0"/>
          <w:sz w:val="22"/>
          <w:szCs w:val="22"/>
        </w:rPr>
      </w:pPr>
      <w:r w:rsidRPr="19C93153">
        <w:rPr>
          <w:rFonts w:ascii="Arial" w:eastAsia="Arial" w:hAnsi="Arial" w:cs="Arial"/>
          <w:b w:val="0"/>
          <w:sz w:val="22"/>
          <w:szCs w:val="22"/>
        </w:rPr>
        <w:t>6.2.5</w:t>
      </w:r>
      <w:r>
        <w:rPr>
          <w:rFonts w:ascii="Arial" w:hAnsi="Arial" w:cs="Arial"/>
          <w:b w:val="0"/>
          <w:sz w:val="22"/>
          <w:szCs w:val="22"/>
        </w:rPr>
        <w:tab/>
      </w:r>
      <w:r w:rsidR="00545BA7" w:rsidRPr="19C93153">
        <w:rPr>
          <w:rFonts w:ascii="Arial" w:eastAsia="Arial" w:hAnsi="Arial" w:cs="Arial"/>
          <w:b w:val="0"/>
          <w:sz w:val="22"/>
          <w:szCs w:val="22"/>
        </w:rPr>
        <w:t xml:space="preserve">All untoward incidents, errors and accidents must be reported as soon as they </w:t>
      </w:r>
      <w:proofErr w:type="gramStart"/>
      <w:r w:rsidR="00545BA7" w:rsidRPr="19C93153">
        <w:rPr>
          <w:rFonts w:ascii="Arial" w:eastAsia="Arial" w:hAnsi="Arial" w:cs="Arial"/>
          <w:b w:val="0"/>
          <w:sz w:val="22"/>
          <w:szCs w:val="22"/>
        </w:rPr>
        <w:t>occur</w:t>
      </w:r>
      <w:proofErr w:type="gramEnd"/>
      <w:r w:rsidR="00545BA7" w:rsidRPr="19C93153">
        <w:rPr>
          <w:rFonts w:ascii="Arial" w:eastAsia="Arial" w:hAnsi="Arial" w:cs="Arial"/>
          <w:b w:val="0"/>
          <w:sz w:val="22"/>
          <w:szCs w:val="22"/>
        </w:rPr>
        <w:t xml:space="preserve"> and appropriate records made and investigations conducted. </w:t>
      </w:r>
    </w:p>
    <w:p w14:paraId="22E72055" w14:textId="77777777" w:rsidR="00720495" w:rsidRPr="00D97894" w:rsidRDefault="00720495" w:rsidP="00E2149D">
      <w:pPr>
        <w:pStyle w:val="BodyText"/>
        <w:jc w:val="both"/>
        <w:rPr>
          <w:rFonts w:ascii="Arial" w:hAnsi="Arial" w:cs="Arial"/>
          <w:b w:val="0"/>
          <w:sz w:val="22"/>
          <w:szCs w:val="22"/>
        </w:rPr>
      </w:pPr>
    </w:p>
    <w:p w14:paraId="1C046343" w14:textId="77777777" w:rsidR="00720495" w:rsidRDefault="00E2149D" w:rsidP="19C93153">
      <w:pPr>
        <w:pStyle w:val="BodyText"/>
        <w:ind w:left="720" w:hanging="720"/>
        <w:jc w:val="both"/>
        <w:rPr>
          <w:rFonts w:ascii="Arial" w:eastAsia="Arial" w:hAnsi="Arial" w:cs="Arial"/>
          <w:b w:val="0"/>
          <w:sz w:val="22"/>
          <w:szCs w:val="22"/>
        </w:rPr>
      </w:pPr>
      <w:r w:rsidRPr="19C93153">
        <w:rPr>
          <w:rFonts w:ascii="Arial" w:eastAsia="Arial" w:hAnsi="Arial" w:cs="Arial"/>
          <w:b w:val="0"/>
          <w:sz w:val="22"/>
          <w:szCs w:val="22"/>
        </w:rPr>
        <w:t>6.2.6</w:t>
      </w:r>
      <w:r>
        <w:rPr>
          <w:rFonts w:ascii="Arial" w:hAnsi="Arial" w:cs="Arial"/>
          <w:b w:val="0"/>
          <w:sz w:val="22"/>
          <w:szCs w:val="22"/>
        </w:rPr>
        <w:tab/>
      </w:r>
      <w:r w:rsidR="00545BA7" w:rsidRPr="19C93153">
        <w:rPr>
          <w:rFonts w:ascii="Arial" w:eastAsia="Arial" w:hAnsi="Arial" w:cs="Arial"/>
          <w:b w:val="0"/>
          <w:sz w:val="22"/>
          <w:szCs w:val="22"/>
        </w:rPr>
        <w:t xml:space="preserve">A thorough and open investigation will be conducted into any incident, accident or mistake where a service user suffers moderate or severe harm, or may have suffered such harm but for a near miss, with the organisation committed to reassuring service users, their families and carers that lessons will be learnt that will be used to help prevent such an event recurring. </w:t>
      </w:r>
    </w:p>
    <w:p w14:paraId="28CCF14B" w14:textId="77777777" w:rsidR="00720495" w:rsidRPr="00D97894" w:rsidRDefault="00720495" w:rsidP="00E2149D">
      <w:pPr>
        <w:pStyle w:val="BodyText"/>
        <w:jc w:val="both"/>
        <w:rPr>
          <w:rFonts w:ascii="Arial" w:hAnsi="Arial" w:cs="Arial"/>
          <w:b w:val="0"/>
          <w:sz w:val="22"/>
          <w:szCs w:val="22"/>
        </w:rPr>
      </w:pPr>
    </w:p>
    <w:p w14:paraId="356A37CD" w14:textId="77777777" w:rsidR="00545BA7" w:rsidRDefault="00E2149D" w:rsidP="19C93153">
      <w:pPr>
        <w:pStyle w:val="BodyText"/>
        <w:ind w:left="720" w:hanging="720"/>
        <w:jc w:val="both"/>
        <w:rPr>
          <w:rFonts w:ascii="Arial" w:eastAsia="Arial" w:hAnsi="Arial" w:cs="Arial"/>
          <w:b w:val="0"/>
          <w:sz w:val="22"/>
          <w:szCs w:val="22"/>
        </w:rPr>
      </w:pPr>
      <w:r w:rsidRPr="19C93153">
        <w:rPr>
          <w:rFonts w:ascii="Arial" w:eastAsia="Arial" w:hAnsi="Arial" w:cs="Arial"/>
          <w:b w:val="0"/>
          <w:sz w:val="22"/>
          <w:szCs w:val="22"/>
        </w:rPr>
        <w:t>6.2.7</w:t>
      </w:r>
      <w:r>
        <w:rPr>
          <w:rFonts w:ascii="Arial" w:hAnsi="Arial" w:cs="Arial"/>
          <w:b w:val="0"/>
          <w:sz w:val="22"/>
          <w:szCs w:val="22"/>
        </w:rPr>
        <w:tab/>
      </w:r>
      <w:r w:rsidR="00545BA7" w:rsidRPr="19C93153">
        <w:rPr>
          <w:rFonts w:ascii="Arial" w:eastAsia="Arial" w:hAnsi="Arial" w:cs="Arial"/>
          <w:b w:val="0"/>
          <w:sz w:val="22"/>
          <w:szCs w:val="22"/>
        </w:rPr>
        <w:t xml:space="preserve">As well as the specific duty of candour which is focussed on a </w:t>
      </w:r>
      <w:proofErr w:type="gramStart"/>
      <w:r w:rsidR="00545BA7" w:rsidRPr="19C93153">
        <w:rPr>
          <w:rFonts w:ascii="Arial" w:eastAsia="Arial" w:hAnsi="Arial" w:cs="Arial"/>
          <w:b w:val="0"/>
          <w:sz w:val="22"/>
          <w:szCs w:val="22"/>
        </w:rPr>
        <w:t>particular safety</w:t>
      </w:r>
      <w:proofErr w:type="gramEnd"/>
      <w:r w:rsidR="00545BA7" w:rsidRPr="19C93153">
        <w:rPr>
          <w:rFonts w:ascii="Arial" w:eastAsia="Arial" w:hAnsi="Arial" w:cs="Arial"/>
          <w:b w:val="0"/>
          <w:sz w:val="22"/>
          <w:szCs w:val="22"/>
        </w:rPr>
        <w:t xml:space="preserve"> incident, the draft regulations also include a more general obligation on CQC registered persons to "act in an open and transparent way in relation to service user care and treatment”.</w:t>
      </w:r>
    </w:p>
    <w:p w14:paraId="20088F7F" w14:textId="77777777" w:rsidR="00720495" w:rsidRPr="00D97894" w:rsidRDefault="00720495" w:rsidP="00E2149D">
      <w:pPr>
        <w:pStyle w:val="BodyText"/>
        <w:jc w:val="both"/>
        <w:rPr>
          <w:rFonts w:ascii="Arial" w:hAnsi="Arial" w:cs="Arial"/>
          <w:b w:val="0"/>
          <w:sz w:val="22"/>
          <w:szCs w:val="22"/>
        </w:rPr>
      </w:pPr>
    </w:p>
    <w:p w14:paraId="31EBA46E" w14:textId="77777777" w:rsidR="00545BA7" w:rsidRDefault="00E2149D" w:rsidP="19C93153">
      <w:pPr>
        <w:pStyle w:val="BodyText"/>
        <w:ind w:left="720" w:hanging="720"/>
        <w:jc w:val="both"/>
        <w:rPr>
          <w:rFonts w:ascii="Arial" w:eastAsia="Arial" w:hAnsi="Arial" w:cs="Arial"/>
          <w:b w:val="0"/>
          <w:sz w:val="22"/>
          <w:szCs w:val="22"/>
        </w:rPr>
      </w:pPr>
      <w:r w:rsidRPr="19C93153">
        <w:rPr>
          <w:rFonts w:ascii="Arial" w:eastAsia="Arial" w:hAnsi="Arial" w:cs="Arial"/>
          <w:b w:val="0"/>
          <w:sz w:val="22"/>
          <w:szCs w:val="22"/>
        </w:rPr>
        <w:t>6.2.8</w:t>
      </w:r>
      <w:r>
        <w:rPr>
          <w:rFonts w:ascii="Arial" w:hAnsi="Arial" w:cs="Arial"/>
          <w:b w:val="0"/>
          <w:sz w:val="22"/>
          <w:szCs w:val="22"/>
        </w:rPr>
        <w:tab/>
      </w:r>
      <w:r w:rsidR="00545BA7" w:rsidRPr="19C93153">
        <w:rPr>
          <w:rFonts w:ascii="Arial" w:eastAsia="Arial" w:hAnsi="Arial" w:cs="Arial"/>
          <w:b w:val="0"/>
          <w:sz w:val="22"/>
          <w:szCs w:val="22"/>
        </w:rPr>
        <w:t>The regulation applies to the service user themselves and, in certain situations, to people acting on their behalf, for example when something happens to a person who lacks the capacity to make decisions about their care.</w:t>
      </w:r>
    </w:p>
    <w:p w14:paraId="607C1313" w14:textId="77777777" w:rsidR="00E2149D" w:rsidRPr="00D97894" w:rsidRDefault="00E2149D" w:rsidP="00E2149D">
      <w:pPr>
        <w:pStyle w:val="BodyText"/>
        <w:ind w:left="720" w:hanging="720"/>
        <w:jc w:val="both"/>
        <w:rPr>
          <w:rFonts w:ascii="Arial" w:hAnsi="Arial" w:cs="Arial"/>
          <w:b w:val="0"/>
          <w:sz w:val="22"/>
          <w:szCs w:val="22"/>
        </w:rPr>
      </w:pPr>
    </w:p>
    <w:p w14:paraId="589E49B7" w14:textId="77777777" w:rsidR="00545BA7" w:rsidRDefault="00E2149D" w:rsidP="19C93153">
      <w:pPr>
        <w:pStyle w:val="BodyText"/>
        <w:ind w:left="720" w:hanging="720"/>
        <w:jc w:val="both"/>
        <w:rPr>
          <w:rFonts w:ascii="Arial" w:eastAsia="Arial" w:hAnsi="Arial" w:cs="Arial"/>
          <w:b w:val="0"/>
          <w:sz w:val="22"/>
          <w:szCs w:val="22"/>
        </w:rPr>
      </w:pPr>
      <w:r w:rsidRPr="19C93153">
        <w:rPr>
          <w:rFonts w:ascii="Arial" w:eastAsia="Arial" w:hAnsi="Arial" w:cs="Arial"/>
          <w:b w:val="0"/>
          <w:sz w:val="22"/>
          <w:szCs w:val="22"/>
        </w:rPr>
        <w:t>6.2.9</w:t>
      </w:r>
      <w:r>
        <w:rPr>
          <w:rFonts w:ascii="Arial" w:hAnsi="Arial" w:cs="Arial"/>
          <w:b w:val="0"/>
          <w:sz w:val="22"/>
          <w:szCs w:val="22"/>
        </w:rPr>
        <w:tab/>
      </w:r>
      <w:r w:rsidR="00545BA7" w:rsidRPr="19C93153">
        <w:rPr>
          <w:rFonts w:ascii="Arial" w:eastAsia="Arial" w:hAnsi="Arial" w:cs="Arial"/>
          <w:b w:val="0"/>
          <w:sz w:val="22"/>
          <w:szCs w:val="22"/>
        </w:rPr>
        <w:t xml:space="preserve">The new regulations on candour will be used by </w:t>
      </w:r>
      <w:proofErr w:type="gramStart"/>
      <w:r w:rsidR="00545BA7" w:rsidRPr="19C93153">
        <w:rPr>
          <w:rFonts w:ascii="Arial" w:eastAsia="Arial" w:hAnsi="Arial" w:cs="Arial"/>
          <w:b w:val="0"/>
          <w:sz w:val="22"/>
          <w:szCs w:val="22"/>
        </w:rPr>
        <w:t>inspectors  to</w:t>
      </w:r>
      <w:proofErr w:type="gramEnd"/>
      <w:r w:rsidR="00545BA7" w:rsidRPr="19C93153">
        <w:rPr>
          <w:rFonts w:ascii="Arial" w:eastAsia="Arial" w:hAnsi="Arial" w:cs="Arial"/>
          <w:b w:val="0"/>
          <w:sz w:val="22"/>
          <w:szCs w:val="22"/>
        </w:rPr>
        <w:t xml:space="preserve"> confirm or encourage good practice through the ratings given to providers, rather than being enforced directly, however, if a provider fails to do any of the things above, CQC will be within its powers to move directly to prosecution without first serving a warning notice.</w:t>
      </w:r>
    </w:p>
    <w:p w14:paraId="61D452B5" w14:textId="77777777" w:rsidR="00720495" w:rsidRPr="00D97894" w:rsidRDefault="00720495" w:rsidP="00E2149D">
      <w:pPr>
        <w:pStyle w:val="BodyText"/>
        <w:jc w:val="both"/>
        <w:rPr>
          <w:rFonts w:ascii="Arial" w:hAnsi="Arial" w:cs="Arial"/>
          <w:b w:val="0"/>
          <w:sz w:val="22"/>
          <w:szCs w:val="22"/>
        </w:rPr>
      </w:pPr>
    </w:p>
    <w:p w14:paraId="422A4480" w14:textId="77777777" w:rsidR="00545BA7" w:rsidRDefault="00E2149D" w:rsidP="19C93153">
      <w:pPr>
        <w:pStyle w:val="BodyText"/>
        <w:ind w:left="720" w:hanging="720"/>
        <w:jc w:val="both"/>
        <w:rPr>
          <w:rFonts w:ascii="Arial" w:eastAsia="Arial" w:hAnsi="Arial" w:cs="Arial"/>
          <w:b w:val="0"/>
          <w:sz w:val="22"/>
          <w:szCs w:val="22"/>
        </w:rPr>
      </w:pPr>
      <w:r w:rsidRPr="19C93153">
        <w:rPr>
          <w:rFonts w:ascii="Arial" w:eastAsia="Arial" w:hAnsi="Arial" w:cs="Arial"/>
          <w:b w:val="0"/>
          <w:sz w:val="22"/>
          <w:szCs w:val="22"/>
        </w:rPr>
        <w:t>6.2.10</w:t>
      </w:r>
      <w:r>
        <w:rPr>
          <w:rFonts w:ascii="Arial" w:hAnsi="Arial" w:cs="Arial"/>
          <w:b w:val="0"/>
          <w:sz w:val="22"/>
          <w:szCs w:val="22"/>
        </w:rPr>
        <w:tab/>
      </w:r>
      <w:r w:rsidR="00545BA7" w:rsidRPr="19C93153">
        <w:rPr>
          <w:rFonts w:ascii="Arial" w:eastAsia="Arial" w:hAnsi="Arial" w:cs="Arial"/>
          <w:b w:val="0"/>
          <w:sz w:val="22"/>
          <w:szCs w:val="22"/>
        </w:rPr>
        <w:t>The default position should be to be open, honest and candid, unless there are justifiable reasons for not being so – for example, because the service user affected actively says that they do not want further information about the incident.</w:t>
      </w:r>
    </w:p>
    <w:p w14:paraId="56CCFE73" w14:textId="77777777" w:rsidR="00720495" w:rsidRPr="00D97894" w:rsidRDefault="00720495" w:rsidP="00E2149D">
      <w:pPr>
        <w:pStyle w:val="BodyText"/>
        <w:jc w:val="both"/>
        <w:rPr>
          <w:rFonts w:ascii="Arial" w:hAnsi="Arial" w:cs="Arial"/>
          <w:b w:val="0"/>
          <w:sz w:val="22"/>
          <w:szCs w:val="22"/>
        </w:rPr>
      </w:pPr>
    </w:p>
    <w:p w14:paraId="5E374BB5" w14:textId="77777777" w:rsidR="00545BA7" w:rsidRPr="00720495" w:rsidRDefault="00E2149D" w:rsidP="19C93153">
      <w:pPr>
        <w:pStyle w:val="BodyText"/>
        <w:jc w:val="both"/>
        <w:rPr>
          <w:rFonts w:ascii="Arial" w:eastAsia="Arial" w:hAnsi="Arial" w:cs="Arial"/>
          <w:sz w:val="22"/>
          <w:szCs w:val="22"/>
        </w:rPr>
      </w:pPr>
      <w:r w:rsidRPr="19C93153">
        <w:rPr>
          <w:rFonts w:ascii="Arial" w:eastAsia="Arial" w:hAnsi="Arial" w:cs="Arial"/>
          <w:sz w:val="22"/>
          <w:szCs w:val="22"/>
        </w:rPr>
        <w:t>6.3</w:t>
      </w:r>
      <w:r>
        <w:rPr>
          <w:rFonts w:ascii="Arial" w:hAnsi="Arial" w:cs="Arial"/>
          <w:sz w:val="22"/>
          <w:szCs w:val="22"/>
        </w:rPr>
        <w:tab/>
      </w:r>
      <w:r w:rsidR="00720495" w:rsidRPr="19C93153">
        <w:rPr>
          <w:rFonts w:ascii="Arial" w:eastAsia="Arial" w:hAnsi="Arial" w:cs="Arial"/>
          <w:sz w:val="22"/>
          <w:szCs w:val="22"/>
        </w:rPr>
        <w:t>RELATED POLICY</w:t>
      </w:r>
    </w:p>
    <w:p w14:paraId="16B19FB4" w14:textId="77777777" w:rsidR="00545BA7" w:rsidRPr="00720495" w:rsidRDefault="00545BA7" w:rsidP="00E2149D">
      <w:pPr>
        <w:pStyle w:val="BodyText"/>
        <w:jc w:val="both"/>
        <w:rPr>
          <w:rFonts w:ascii="Arial" w:hAnsi="Arial" w:cs="Arial"/>
          <w:sz w:val="22"/>
          <w:szCs w:val="22"/>
        </w:rPr>
      </w:pPr>
    </w:p>
    <w:p w14:paraId="674C15A5" w14:textId="77777777" w:rsidR="00720495" w:rsidRDefault="19C93153" w:rsidP="19C93153">
      <w:pPr>
        <w:pStyle w:val="BodyText"/>
        <w:numPr>
          <w:ilvl w:val="0"/>
          <w:numId w:val="15"/>
        </w:numPr>
        <w:ind w:left="1134"/>
        <w:jc w:val="both"/>
        <w:rPr>
          <w:rFonts w:ascii="Arial" w:eastAsia="Arial" w:hAnsi="Arial" w:cs="Arial"/>
          <w:b w:val="0"/>
          <w:sz w:val="22"/>
          <w:szCs w:val="22"/>
        </w:rPr>
      </w:pPr>
      <w:r w:rsidRPr="19C93153">
        <w:rPr>
          <w:rFonts w:ascii="Arial" w:eastAsia="Arial" w:hAnsi="Arial" w:cs="Arial"/>
          <w:b w:val="0"/>
          <w:sz w:val="22"/>
          <w:szCs w:val="22"/>
        </w:rPr>
        <w:t xml:space="preserve">the organisation’s policies and procedures on, accident and incident reporting </w:t>
      </w:r>
    </w:p>
    <w:p w14:paraId="6B96E200" w14:textId="77777777" w:rsidR="00545BA7" w:rsidRPr="00D97894" w:rsidRDefault="19C93153" w:rsidP="19C93153">
      <w:pPr>
        <w:pStyle w:val="BodyText"/>
        <w:numPr>
          <w:ilvl w:val="0"/>
          <w:numId w:val="15"/>
        </w:numPr>
        <w:ind w:left="1134"/>
        <w:jc w:val="both"/>
        <w:rPr>
          <w:rFonts w:ascii="Arial" w:eastAsia="Arial" w:hAnsi="Arial" w:cs="Arial"/>
          <w:b w:val="0"/>
          <w:sz w:val="22"/>
          <w:szCs w:val="22"/>
        </w:rPr>
      </w:pPr>
      <w:r w:rsidRPr="19C93153">
        <w:rPr>
          <w:rFonts w:ascii="Arial" w:eastAsia="Arial" w:hAnsi="Arial" w:cs="Arial"/>
          <w:b w:val="0"/>
          <w:sz w:val="22"/>
          <w:szCs w:val="22"/>
        </w:rPr>
        <w:t>the organisation’s policies and procedures on investigation</w:t>
      </w:r>
    </w:p>
    <w:p w14:paraId="15A695F4" w14:textId="77777777" w:rsidR="00545BA7" w:rsidRPr="00D97894" w:rsidRDefault="19C93153" w:rsidP="19C93153">
      <w:pPr>
        <w:pStyle w:val="BodyText"/>
        <w:numPr>
          <w:ilvl w:val="0"/>
          <w:numId w:val="15"/>
        </w:numPr>
        <w:ind w:left="1134"/>
        <w:jc w:val="both"/>
        <w:rPr>
          <w:rFonts w:ascii="Arial" w:eastAsia="Arial" w:hAnsi="Arial" w:cs="Arial"/>
          <w:b w:val="0"/>
          <w:sz w:val="22"/>
          <w:szCs w:val="22"/>
        </w:rPr>
      </w:pPr>
      <w:r w:rsidRPr="19C93153">
        <w:rPr>
          <w:rFonts w:ascii="Arial" w:eastAsia="Arial" w:hAnsi="Arial" w:cs="Arial"/>
          <w:b w:val="0"/>
          <w:sz w:val="22"/>
          <w:szCs w:val="22"/>
        </w:rPr>
        <w:t>the organisation’s policies and procedures on whistleblowing</w:t>
      </w:r>
    </w:p>
    <w:p w14:paraId="5BBCD076" w14:textId="77777777" w:rsidR="00545BA7" w:rsidRPr="00D97894" w:rsidRDefault="19C93153" w:rsidP="19C93153">
      <w:pPr>
        <w:pStyle w:val="BodyText"/>
        <w:numPr>
          <w:ilvl w:val="0"/>
          <w:numId w:val="15"/>
        </w:numPr>
        <w:ind w:left="1134"/>
        <w:jc w:val="both"/>
        <w:rPr>
          <w:rFonts w:ascii="Arial" w:eastAsia="Arial" w:hAnsi="Arial" w:cs="Arial"/>
          <w:b w:val="0"/>
          <w:sz w:val="22"/>
          <w:szCs w:val="22"/>
        </w:rPr>
      </w:pPr>
      <w:r w:rsidRPr="19C93153">
        <w:rPr>
          <w:rFonts w:ascii="Arial" w:eastAsia="Arial" w:hAnsi="Arial" w:cs="Arial"/>
          <w:b w:val="0"/>
          <w:sz w:val="22"/>
          <w:szCs w:val="22"/>
        </w:rPr>
        <w:t xml:space="preserve">the organisation’s policies and procedures on dealing with complaints. </w:t>
      </w:r>
    </w:p>
    <w:p w14:paraId="75911976" w14:textId="77777777" w:rsidR="00720495" w:rsidRDefault="00720495" w:rsidP="00E2149D">
      <w:pPr>
        <w:pStyle w:val="CHead"/>
        <w:spacing w:before="0" w:after="0"/>
        <w:jc w:val="both"/>
        <w:rPr>
          <w:b w:val="0"/>
          <w:sz w:val="22"/>
          <w:szCs w:val="22"/>
        </w:rPr>
      </w:pPr>
    </w:p>
    <w:p w14:paraId="5CE36572" w14:textId="77777777" w:rsidR="00545BA7" w:rsidRDefault="00E2149D" w:rsidP="19C93153">
      <w:pPr>
        <w:pStyle w:val="CHead"/>
        <w:spacing w:before="0" w:after="0"/>
        <w:jc w:val="both"/>
        <w:rPr>
          <w:sz w:val="22"/>
          <w:szCs w:val="22"/>
        </w:rPr>
      </w:pPr>
      <w:r>
        <w:rPr>
          <w:sz w:val="22"/>
          <w:szCs w:val="22"/>
        </w:rPr>
        <w:t>6.4</w:t>
      </w:r>
      <w:r>
        <w:rPr>
          <w:sz w:val="22"/>
          <w:szCs w:val="22"/>
        </w:rPr>
        <w:tab/>
      </w:r>
      <w:r w:rsidR="00720495" w:rsidRPr="00720495">
        <w:rPr>
          <w:sz w:val="22"/>
          <w:szCs w:val="22"/>
        </w:rPr>
        <w:t>REVIEW</w:t>
      </w:r>
    </w:p>
    <w:p w14:paraId="5BCBC7BA" w14:textId="77777777" w:rsidR="00720495" w:rsidRPr="00720495" w:rsidRDefault="00720495" w:rsidP="00E2149D">
      <w:pPr>
        <w:pStyle w:val="CHead"/>
        <w:spacing w:before="0" w:after="0"/>
        <w:jc w:val="both"/>
        <w:rPr>
          <w:sz w:val="22"/>
          <w:szCs w:val="22"/>
        </w:rPr>
      </w:pPr>
    </w:p>
    <w:p w14:paraId="07C8589A" w14:textId="77777777" w:rsidR="00545BA7" w:rsidRDefault="00E2149D" w:rsidP="19C93153">
      <w:pPr>
        <w:pStyle w:val="BodyText"/>
        <w:ind w:left="720" w:hanging="720"/>
        <w:jc w:val="both"/>
        <w:rPr>
          <w:rFonts w:ascii="Arial" w:eastAsia="Arial" w:hAnsi="Arial" w:cs="Arial"/>
          <w:b w:val="0"/>
          <w:sz w:val="22"/>
          <w:szCs w:val="22"/>
        </w:rPr>
      </w:pPr>
      <w:r w:rsidRPr="19C93153">
        <w:rPr>
          <w:rFonts w:ascii="Arial" w:eastAsia="Arial" w:hAnsi="Arial" w:cs="Arial"/>
          <w:b w:val="0"/>
          <w:sz w:val="22"/>
          <w:szCs w:val="22"/>
        </w:rPr>
        <w:t>6.4.1</w:t>
      </w:r>
      <w:r>
        <w:rPr>
          <w:rFonts w:ascii="Arial" w:hAnsi="Arial" w:cs="Arial"/>
          <w:b w:val="0"/>
          <w:sz w:val="22"/>
          <w:szCs w:val="22"/>
        </w:rPr>
        <w:tab/>
      </w:r>
      <w:r w:rsidR="00545BA7" w:rsidRPr="19C93153">
        <w:rPr>
          <w:rFonts w:ascii="Arial" w:eastAsia="Arial" w:hAnsi="Arial" w:cs="Arial"/>
          <w:b w:val="0"/>
          <w:sz w:val="22"/>
          <w:szCs w:val="22"/>
        </w:rPr>
        <w:t xml:space="preserve">The policy will be reviewed on an annual basis. All untoward incidents and accident reports will be subject to regular review to look for trends and patterns and to ensure that all are fully investigated and followed-up, including "near misses" where an accident was narrowly averted. </w:t>
      </w:r>
    </w:p>
    <w:p w14:paraId="1AF5A735" w14:textId="77777777" w:rsidR="00E2149D" w:rsidRPr="00D97894" w:rsidRDefault="00E2149D" w:rsidP="00E2149D">
      <w:pPr>
        <w:pStyle w:val="BodyText"/>
        <w:jc w:val="both"/>
        <w:rPr>
          <w:rFonts w:ascii="Arial" w:hAnsi="Arial" w:cs="Arial"/>
          <w:b w:val="0"/>
          <w:sz w:val="22"/>
          <w:szCs w:val="22"/>
        </w:rPr>
      </w:pPr>
    </w:p>
    <w:p w14:paraId="289D5AC1" w14:textId="77777777" w:rsidR="00545BA7" w:rsidRPr="00D97894" w:rsidRDefault="00E2149D" w:rsidP="19C93153">
      <w:pPr>
        <w:pStyle w:val="BodyText"/>
        <w:ind w:left="720" w:hanging="720"/>
        <w:jc w:val="both"/>
        <w:rPr>
          <w:rFonts w:ascii="Arial" w:eastAsia="Arial" w:hAnsi="Arial" w:cs="Arial"/>
          <w:b w:val="0"/>
          <w:sz w:val="22"/>
          <w:szCs w:val="22"/>
        </w:rPr>
      </w:pPr>
      <w:r w:rsidRPr="19C93153">
        <w:rPr>
          <w:rFonts w:ascii="Arial" w:eastAsia="Arial" w:hAnsi="Arial" w:cs="Arial"/>
          <w:b w:val="0"/>
          <w:sz w:val="22"/>
          <w:szCs w:val="22"/>
        </w:rPr>
        <w:t>6.4.2</w:t>
      </w:r>
      <w:r>
        <w:rPr>
          <w:rFonts w:ascii="Arial" w:hAnsi="Arial" w:cs="Arial"/>
          <w:b w:val="0"/>
          <w:sz w:val="22"/>
          <w:szCs w:val="22"/>
        </w:rPr>
        <w:tab/>
      </w:r>
      <w:r w:rsidR="00545BA7" w:rsidRPr="19C93153">
        <w:rPr>
          <w:rFonts w:ascii="Arial" w:eastAsia="Arial" w:hAnsi="Arial" w:cs="Arial"/>
          <w:b w:val="0"/>
          <w:sz w:val="22"/>
          <w:szCs w:val="22"/>
        </w:rPr>
        <w:t xml:space="preserve">Responsibility for the implementation, monitoring and review of this policy lies with the registered manager. </w:t>
      </w:r>
    </w:p>
    <w:p w14:paraId="654D8C7A" w14:textId="77777777" w:rsidR="00325097" w:rsidRPr="00325097" w:rsidRDefault="00325097" w:rsidP="00E2149D">
      <w:pPr>
        <w:tabs>
          <w:tab w:val="left" w:pos="1697"/>
        </w:tabs>
        <w:jc w:val="both"/>
        <w:rPr>
          <w:rFonts w:ascii="Arial" w:hAnsi="Arial" w:cs="Arial"/>
          <w:b/>
          <w:sz w:val="22"/>
          <w:szCs w:val="22"/>
        </w:rPr>
      </w:pPr>
    </w:p>
    <w:p w14:paraId="39E254CB" w14:textId="77777777" w:rsidR="00545BA7" w:rsidRPr="00545BA7" w:rsidRDefault="00E2149D" w:rsidP="19C93153">
      <w:pPr>
        <w:tabs>
          <w:tab w:val="left" w:pos="709"/>
        </w:tabs>
        <w:jc w:val="both"/>
        <w:rPr>
          <w:rFonts w:ascii="Arial" w:eastAsia="Arial" w:hAnsi="Arial" w:cs="Arial"/>
          <w:b/>
          <w:bCs/>
          <w:sz w:val="22"/>
          <w:szCs w:val="22"/>
        </w:rPr>
      </w:pPr>
      <w:r w:rsidRPr="19C93153">
        <w:rPr>
          <w:rFonts w:ascii="Arial" w:eastAsia="Arial" w:hAnsi="Arial" w:cs="Arial"/>
          <w:b/>
          <w:bCs/>
          <w:sz w:val="22"/>
          <w:szCs w:val="22"/>
        </w:rPr>
        <w:t>6.5</w:t>
      </w:r>
      <w:r>
        <w:rPr>
          <w:rFonts w:ascii="Arial" w:hAnsi="Arial" w:cs="Arial"/>
          <w:b/>
          <w:sz w:val="22"/>
          <w:szCs w:val="22"/>
        </w:rPr>
        <w:tab/>
      </w:r>
      <w:r w:rsidR="00325097" w:rsidRPr="19C93153">
        <w:rPr>
          <w:rFonts w:ascii="Arial" w:eastAsia="Arial" w:hAnsi="Arial" w:cs="Arial"/>
          <w:b/>
          <w:bCs/>
          <w:sz w:val="22"/>
          <w:szCs w:val="22"/>
        </w:rPr>
        <w:t>C</w:t>
      </w:r>
      <w:r w:rsidR="00545BA7" w:rsidRPr="19C93153">
        <w:rPr>
          <w:rFonts w:ascii="Arial" w:eastAsia="Arial" w:hAnsi="Arial" w:cs="Arial"/>
          <w:b/>
          <w:bCs/>
          <w:sz w:val="22"/>
          <w:szCs w:val="22"/>
        </w:rPr>
        <w:t xml:space="preserve">OMMUNICATION </w:t>
      </w:r>
    </w:p>
    <w:p w14:paraId="1E1E2939" w14:textId="77777777" w:rsidR="00545BA7" w:rsidRDefault="00545BA7" w:rsidP="00E2149D">
      <w:pPr>
        <w:tabs>
          <w:tab w:val="left" w:pos="1697"/>
        </w:tabs>
        <w:jc w:val="both"/>
        <w:rPr>
          <w:rFonts w:ascii="Arial" w:hAnsi="Arial" w:cs="Arial"/>
          <w:sz w:val="22"/>
          <w:szCs w:val="22"/>
        </w:rPr>
      </w:pPr>
    </w:p>
    <w:p w14:paraId="25216A62" w14:textId="77777777" w:rsidR="00545BA7" w:rsidRDefault="00E2149D" w:rsidP="19C93153">
      <w:pPr>
        <w:tabs>
          <w:tab w:val="left" w:pos="1697"/>
        </w:tabs>
        <w:ind w:left="720" w:hanging="720"/>
        <w:jc w:val="both"/>
        <w:rPr>
          <w:rFonts w:ascii="Arial" w:eastAsia="Arial" w:hAnsi="Arial" w:cs="Arial"/>
          <w:sz w:val="22"/>
          <w:szCs w:val="22"/>
        </w:rPr>
      </w:pPr>
      <w:r w:rsidRPr="19C93153">
        <w:rPr>
          <w:rFonts w:ascii="Arial" w:eastAsia="Arial" w:hAnsi="Arial" w:cs="Arial"/>
          <w:sz w:val="22"/>
          <w:szCs w:val="22"/>
        </w:rPr>
        <w:t>6.5.1.</w:t>
      </w:r>
      <w:r>
        <w:rPr>
          <w:rFonts w:ascii="Arial" w:hAnsi="Arial" w:cs="Arial"/>
          <w:sz w:val="22"/>
          <w:szCs w:val="22"/>
        </w:rPr>
        <w:tab/>
      </w:r>
      <w:r w:rsidR="00325097" w:rsidRPr="19C93153">
        <w:rPr>
          <w:rFonts w:ascii="Arial" w:eastAsia="Arial" w:hAnsi="Arial" w:cs="Arial"/>
          <w:sz w:val="22"/>
          <w:szCs w:val="22"/>
        </w:rPr>
        <w:t xml:space="preserve">Open and effective communication with the </w:t>
      </w:r>
      <w:r w:rsidR="00545BA7" w:rsidRPr="19C93153">
        <w:rPr>
          <w:rFonts w:ascii="Arial" w:eastAsia="Arial" w:hAnsi="Arial" w:cs="Arial"/>
          <w:sz w:val="22"/>
          <w:szCs w:val="22"/>
        </w:rPr>
        <w:t>Service user</w:t>
      </w:r>
      <w:r w:rsidR="00325097" w:rsidRPr="19C93153">
        <w:rPr>
          <w:rFonts w:ascii="Arial" w:eastAsia="Arial" w:hAnsi="Arial" w:cs="Arial"/>
          <w:sz w:val="22"/>
          <w:szCs w:val="22"/>
        </w:rPr>
        <w:t xml:space="preserve"> and family is likely to include meet</w:t>
      </w:r>
      <w:r w:rsidR="00545BA7" w:rsidRPr="19C93153">
        <w:rPr>
          <w:rFonts w:ascii="Arial" w:eastAsia="Arial" w:hAnsi="Arial" w:cs="Arial"/>
          <w:sz w:val="22"/>
          <w:szCs w:val="22"/>
        </w:rPr>
        <w:t>ing</w:t>
      </w:r>
      <w:r w:rsidR="00325097" w:rsidRPr="19C93153">
        <w:rPr>
          <w:rFonts w:ascii="Arial" w:eastAsia="Arial" w:hAnsi="Arial" w:cs="Arial"/>
          <w:sz w:val="22"/>
          <w:szCs w:val="22"/>
        </w:rPr>
        <w:t xml:space="preserve"> </w:t>
      </w:r>
      <w:r w:rsidR="00545BA7" w:rsidRPr="19C93153">
        <w:rPr>
          <w:rFonts w:ascii="Arial" w:eastAsia="Arial" w:hAnsi="Arial" w:cs="Arial"/>
          <w:sz w:val="22"/>
          <w:szCs w:val="22"/>
        </w:rPr>
        <w:t>Service user</w:t>
      </w:r>
      <w:r w:rsidR="00325097" w:rsidRPr="19C93153">
        <w:rPr>
          <w:rFonts w:ascii="Arial" w:eastAsia="Arial" w:hAnsi="Arial" w:cs="Arial"/>
          <w:sz w:val="22"/>
          <w:szCs w:val="22"/>
        </w:rPr>
        <w:t xml:space="preserve">s practical and emotional needs e.g. the names of people who can </w:t>
      </w:r>
      <w:proofErr w:type="gramStart"/>
      <w:r w:rsidR="00325097" w:rsidRPr="19C93153">
        <w:rPr>
          <w:rFonts w:ascii="Arial" w:eastAsia="Arial" w:hAnsi="Arial" w:cs="Arial"/>
          <w:sz w:val="22"/>
          <w:szCs w:val="22"/>
        </w:rPr>
        <w:t>provide assistance</w:t>
      </w:r>
      <w:proofErr w:type="gramEnd"/>
      <w:r w:rsidR="00325097" w:rsidRPr="19C93153">
        <w:rPr>
          <w:rFonts w:ascii="Arial" w:eastAsia="Arial" w:hAnsi="Arial" w:cs="Arial"/>
          <w:sz w:val="22"/>
          <w:szCs w:val="22"/>
        </w:rPr>
        <w:t xml:space="preserve"> and support to the </w:t>
      </w:r>
      <w:r w:rsidR="00545BA7" w:rsidRPr="19C93153">
        <w:rPr>
          <w:rFonts w:ascii="Arial" w:eastAsia="Arial" w:hAnsi="Arial" w:cs="Arial"/>
          <w:sz w:val="22"/>
          <w:szCs w:val="22"/>
        </w:rPr>
        <w:t>Service user</w:t>
      </w:r>
      <w:r w:rsidR="00325097" w:rsidRPr="19C93153">
        <w:rPr>
          <w:rFonts w:ascii="Arial" w:eastAsia="Arial" w:hAnsi="Arial" w:cs="Arial"/>
          <w:sz w:val="22"/>
          <w:szCs w:val="22"/>
        </w:rPr>
        <w:t xml:space="preserve"> (</w:t>
      </w:r>
      <w:r w:rsidR="00545BA7" w:rsidRPr="19C93153">
        <w:rPr>
          <w:rFonts w:ascii="Arial" w:eastAsia="Arial" w:hAnsi="Arial" w:cs="Arial"/>
          <w:sz w:val="22"/>
          <w:szCs w:val="22"/>
        </w:rPr>
        <w:t>Service user</w:t>
      </w:r>
      <w:r w:rsidR="00325097" w:rsidRPr="19C93153">
        <w:rPr>
          <w:rFonts w:ascii="Arial" w:eastAsia="Arial" w:hAnsi="Arial" w:cs="Arial"/>
          <w:sz w:val="22"/>
          <w:szCs w:val="22"/>
        </w:rPr>
        <w:t xml:space="preserve">s consent would be required before information can be given). </w:t>
      </w:r>
    </w:p>
    <w:p w14:paraId="07F87888" w14:textId="77777777" w:rsidR="00545BA7" w:rsidRDefault="00545BA7" w:rsidP="00E2149D">
      <w:pPr>
        <w:tabs>
          <w:tab w:val="left" w:pos="1697"/>
        </w:tabs>
        <w:jc w:val="both"/>
        <w:rPr>
          <w:rFonts w:ascii="Arial" w:hAnsi="Arial" w:cs="Arial"/>
          <w:sz w:val="22"/>
          <w:szCs w:val="22"/>
        </w:rPr>
      </w:pPr>
    </w:p>
    <w:p w14:paraId="156A632E" w14:textId="6C21D981" w:rsidR="00545BA7" w:rsidRDefault="00E2149D" w:rsidP="19C93153">
      <w:pPr>
        <w:tabs>
          <w:tab w:val="left" w:pos="1697"/>
        </w:tabs>
        <w:ind w:left="720" w:hanging="720"/>
        <w:jc w:val="both"/>
        <w:rPr>
          <w:rFonts w:ascii="Arial" w:eastAsia="Arial" w:hAnsi="Arial" w:cs="Arial"/>
          <w:sz w:val="22"/>
          <w:szCs w:val="22"/>
        </w:rPr>
      </w:pPr>
      <w:r w:rsidRPr="19C93153">
        <w:rPr>
          <w:rFonts w:ascii="Arial" w:eastAsia="Arial" w:hAnsi="Arial" w:cs="Arial"/>
          <w:sz w:val="22"/>
          <w:szCs w:val="22"/>
        </w:rPr>
        <w:t>6.5.2</w:t>
      </w:r>
      <w:r>
        <w:rPr>
          <w:rFonts w:ascii="Arial" w:hAnsi="Arial" w:cs="Arial"/>
          <w:sz w:val="22"/>
          <w:szCs w:val="22"/>
        </w:rPr>
        <w:tab/>
      </w:r>
      <w:r w:rsidR="00545BA7" w:rsidRPr="19C93153">
        <w:rPr>
          <w:rFonts w:ascii="Arial" w:eastAsia="Arial" w:hAnsi="Arial" w:cs="Arial"/>
          <w:sz w:val="22"/>
          <w:szCs w:val="22"/>
        </w:rPr>
        <w:t>Key Background Information service users/families must be given open, honest and timely communication following moderate, severe harm and death incidents. Staff must report a</w:t>
      </w:r>
      <w:r w:rsidR="00C4218C">
        <w:rPr>
          <w:rFonts w:ascii="Arial" w:eastAsia="Arial" w:hAnsi="Arial" w:cs="Arial"/>
          <w:sz w:val="22"/>
          <w:szCs w:val="22"/>
        </w:rPr>
        <w:t>n</w:t>
      </w:r>
      <w:r w:rsidR="00545BA7" w:rsidRPr="19C93153">
        <w:rPr>
          <w:rFonts w:ascii="Arial" w:eastAsia="Arial" w:hAnsi="Arial" w:cs="Arial"/>
          <w:sz w:val="22"/>
          <w:szCs w:val="22"/>
        </w:rPr>
        <w:t>y incident via the electronic incident reporting system and to senior staff immediately</w:t>
      </w:r>
      <w:r w:rsidR="001C6994">
        <w:rPr>
          <w:rFonts w:ascii="Arial" w:eastAsia="Arial" w:hAnsi="Arial" w:cs="Arial"/>
          <w:sz w:val="22"/>
          <w:szCs w:val="22"/>
        </w:rPr>
        <w:t>.</w:t>
      </w:r>
    </w:p>
    <w:p w14:paraId="503B8CDD" w14:textId="77777777" w:rsidR="00545BA7" w:rsidRDefault="00545BA7" w:rsidP="00E2149D">
      <w:pPr>
        <w:tabs>
          <w:tab w:val="left" w:pos="1697"/>
        </w:tabs>
        <w:jc w:val="both"/>
        <w:rPr>
          <w:rFonts w:ascii="Arial" w:hAnsi="Arial" w:cs="Arial"/>
          <w:sz w:val="22"/>
          <w:szCs w:val="22"/>
        </w:rPr>
      </w:pPr>
    </w:p>
    <w:p w14:paraId="66300BB3" w14:textId="77777777" w:rsidR="00545BA7" w:rsidRDefault="00E2149D" w:rsidP="19C93153">
      <w:pPr>
        <w:tabs>
          <w:tab w:val="left" w:pos="1697"/>
        </w:tabs>
        <w:ind w:left="720" w:hanging="720"/>
        <w:jc w:val="both"/>
        <w:rPr>
          <w:rFonts w:ascii="Arial" w:eastAsia="Arial" w:hAnsi="Arial" w:cs="Arial"/>
          <w:sz w:val="22"/>
          <w:szCs w:val="22"/>
        </w:rPr>
      </w:pPr>
      <w:r w:rsidRPr="19C93153">
        <w:rPr>
          <w:rFonts w:ascii="Arial" w:eastAsia="Arial" w:hAnsi="Arial" w:cs="Arial"/>
          <w:sz w:val="22"/>
          <w:szCs w:val="22"/>
        </w:rPr>
        <w:t>6.5.3</w:t>
      </w:r>
      <w:r>
        <w:rPr>
          <w:rFonts w:ascii="Arial" w:hAnsi="Arial" w:cs="Arial"/>
          <w:sz w:val="22"/>
          <w:szCs w:val="22"/>
        </w:rPr>
        <w:tab/>
      </w:r>
      <w:r w:rsidR="00545BA7" w:rsidRPr="19C93153">
        <w:rPr>
          <w:rFonts w:ascii="Arial" w:eastAsia="Arial" w:hAnsi="Arial" w:cs="Arial"/>
          <w:sz w:val="22"/>
          <w:szCs w:val="22"/>
        </w:rPr>
        <w:t xml:space="preserve">A discussion to decide the appropriate response will agree how the service user and/or family will be informed of the incident and given an apology. Face to face discussion is best or a telephone call if the service user is not in available. Verbal communication should always occur before a letter is sent. </w:t>
      </w:r>
    </w:p>
    <w:p w14:paraId="14E38869" w14:textId="77777777" w:rsidR="00545BA7" w:rsidRDefault="00545BA7" w:rsidP="00E2149D">
      <w:pPr>
        <w:tabs>
          <w:tab w:val="left" w:pos="1697"/>
        </w:tabs>
        <w:jc w:val="both"/>
        <w:rPr>
          <w:rFonts w:ascii="Arial" w:hAnsi="Arial" w:cs="Arial"/>
          <w:sz w:val="22"/>
          <w:szCs w:val="22"/>
        </w:rPr>
      </w:pPr>
    </w:p>
    <w:p w14:paraId="75628C31" w14:textId="77777777" w:rsidR="00545BA7" w:rsidRDefault="00E2149D" w:rsidP="19C93153">
      <w:pPr>
        <w:tabs>
          <w:tab w:val="left" w:pos="1697"/>
        </w:tabs>
        <w:ind w:left="720" w:hanging="720"/>
        <w:jc w:val="both"/>
        <w:rPr>
          <w:rFonts w:ascii="Arial" w:eastAsia="Arial" w:hAnsi="Arial" w:cs="Arial"/>
          <w:sz w:val="22"/>
          <w:szCs w:val="22"/>
        </w:rPr>
      </w:pPr>
      <w:r w:rsidRPr="19C93153">
        <w:rPr>
          <w:rFonts w:ascii="Arial" w:eastAsia="Arial" w:hAnsi="Arial" w:cs="Arial"/>
          <w:sz w:val="22"/>
          <w:szCs w:val="22"/>
        </w:rPr>
        <w:t>6.5.4</w:t>
      </w:r>
      <w:r>
        <w:rPr>
          <w:rFonts w:ascii="Arial" w:hAnsi="Arial" w:cs="Arial"/>
          <w:sz w:val="22"/>
          <w:szCs w:val="22"/>
        </w:rPr>
        <w:tab/>
      </w:r>
      <w:r w:rsidR="00545BA7" w:rsidRPr="19C93153">
        <w:rPr>
          <w:rFonts w:ascii="Arial" w:eastAsia="Arial" w:hAnsi="Arial" w:cs="Arial"/>
          <w:sz w:val="22"/>
          <w:szCs w:val="22"/>
        </w:rPr>
        <w:t xml:space="preserve">It is useful to identify an appropriate senior staff member to be a single point of contact. Make Initial Disclosure and Apology with the service user/Family as Soon As Possible and Within 10 Working Days of Incident, delay in disclosure must be avoided. </w:t>
      </w:r>
    </w:p>
    <w:p w14:paraId="48F68A7B" w14:textId="77777777" w:rsidR="00545BA7" w:rsidRDefault="00545BA7" w:rsidP="00E2149D">
      <w:pPr>
        <w:tabs>
          <w:tab w:val="left" w:pos="1697"/>
        </w:tabs>
        <w:jc w:val="both"/>
        <w:rPr>
          <w:rFonts w:ascii="Arial" w:hAnsi="Arial" w:cs="Arial"/>
          <w:sz w:val="22"/>
          <w:szCs w:val="22"/>
        </w:rPr>
      </w:pPr>
    </w:p>
    <w:p w14:paraId="7C02C14B" w14:textId="77777777" w:rsidR="00545BA7" w:rsidRDefault="00E2149D" w:rsidP="19C93153">
      <w:pPr>
        <w:tabs>
          <w:tab w:val="left" w:pos="1697"/>
        </w:tabs>
        <w:ind w:left="720" w:hanging="720"/>
        <w:jc w:val="both"/>
        <w:rPr>
          <w:rFonts w:ascii="Arial" w:eastAsia="Arial" w:hAnsi="Arial" w:cs="Arial"/>
          <w:sz w:val="22"/>
          <w:szCs w:val="22"/>
        </w:rPr>
      </w:pPr>
      <w:r w:rsidRPr="19C93153">
        <w:rPr>
          <w:rFonts w:ascii="Arial" w:eastAsia="Arial" w:hAnsi="Arial" w:cs="Arial"/>
          <w:sz w:val="22"/>
          <w:szCs w:val="22"/>
        </w:rPr>
        <w:t>6.5.5</w:t>
      </w:r>
      <w:r>
        <w:rPr>
          <w:rFonts w:ascii="Arial" w:hAnsi="Arial" w:cs="Arial"/>
          <w:sz w:val="22"/>
          <w:szCs w:val="22"/>
        </w:rPr>
        <w:tab/>
      </w:r>
      <w:r w:rsidR="00545BA7" w:rsidRPr="19C93153">
        <w:rPr>
          <w:rFonts w:ascii="Arial" w:eastAsia="Arial" w:hAnsi="Arial" w:cs="Arial"/>
          <w:sz w:val="22"/>
          <w:szCs w:val="22"/>
        </w:rPr>
        <w:t xml:space="preserve">The initial communication must occur even if details are not yet clear, this communication can occur by any appropriate means – face-to-face is best, but it can be a telephone call or invitation to a meeting. Reference should be made to the investigation which may provide different or further information. </w:t>
      </w:r>
    </w:p>
    <w:p w14:paraId="40D0B1FE" w14:textId="77777777" w:rsidR="00545BA7" w:rsidRDefault="00545BA7" w:rsidP="00E2149D">
      <w:pPr>
        <w:tabs>
          <w:tab w:val="left" w:pos="1697"/>
        </w:tabs>
        <w:jc w:val="both"/>
        <w:rPr>
          <w:rFonts w:ascii="Arial" w:hAnsi="Arial" w:cs="Arial"/>
          <w:sz w:val="22"/>
          <w:szCs w:val="22"/>
        </w:rPr>
      </w:pPr>
    </w:p>
    <w:p w14:paraId="3091FF94" w14:textId="77777777" w:rsidR="00545BA7" w:rsidRDefault="00E2149D" w:rsidP="19C93153">
      <w:pPr>
        <w:tabs>
          <w:tab w:val="left" w:pos="1697"/>
        </w:tabs>
        <w:ind w:left="720" w:hanging="720"/>
        <w:jc w:val="both"/>
        <w:rPr>
          <w:rFonts w:ascii="Arial" w:eastAsia="Arial" w:hAnsi="Arial" w:cs="Arial"/>
          <w:sz w:val="22"/>
          <w:szCs w:val="22"/>
        </w:rPr>
      </w:pPr>
      <w:r w:rsidRPr="19C93153">
        <w:rPr>
          <w:rFonts w:ascii="Arial" w:eastAsia="Arial" w:hAnsi="Arial" w:cs="Arial"/>
          <w:sz w:val="22"/>
          <w:szCs w:val="22"/>
        </w:rPr>
        <w:lastRenderedPageBreak/>
        <w:t>6.5.6</w:t>
      </w:r>
      <w:r>
        <w:rPr>
          <w:rFonts w:ascii="Arial" w:hAnsi="Arial" w:cs="Arial"/>
          <w:sz w:val="22"/>
          <w:szCs w:val="22"/>
        </w:rPr>
        <w:tab/>
      </w:r>
      <w:r w:rsidR="00545BA7" w:rsidRPr="19C93153">
        <w:rPr>
          <w:rFonts w:ascii="Arial" w:eastAsia="Arial" w:hAnsi="Arial" w:cs="Arial"/>
          <w:sz w:val="22"/>
          <w:szCs w:val="22"/>
        </w:rPr>
        <w:t xml:space="preserve">This initial communication must be recorded with a heading “Duty of Candour meeting” – Date, time, people present, apology, what was discussed, concerns raised, arrangements for further communication/support etc. The communication is mainly disclosing that an incident has occurred and offering apology and sympathetic support. It is important to avoid giving too much detail about the incident until the incident investigation has been completed. </w:t>
      </w:r>
    </w:p>
    <w:p w14:paraId="04A5A287" w14:textId="77777777" w:rsidR="00545BA7" w:rsidRDefault="00545BA7" w:rsidP="00E2149D">
      <w:pPr>
        <w:tabs>
          <w:tab w:val="left" w:pos="1697"/>
        </w:tabs>
        <w:jc w:val="both"/>
        <w:rPr>
          <w:rFonts w:ascii="Arial" w:hAnsi="Arial" w:cs="Arial"/>
          <w:sz w:val="22"/>
          <w:szCs w:val="22"/>
        </w:rPr>
      </w:pPr>
    </w:p>
    <w:p w14:paraId="1CF8D719" w14:textId="07995C96" w:rsidR="00325097" w:rsidRDefault="00E2149D" w:rsidP="19C93153">
      <w:pPr>
        <w:tabs>
          <w:tab w:val="left" w:pos="1697"/>
        </w:tabs>
        <w:ind w:left="720" w:hanging="720"/>
        <w:jc w:val="both"/>
        <w:rPr>
          <w:rFonts w:ascii="Arial" w:eastAsia="Arial" w:hAnsi="Arial" w:cs="Arial"/>
          <w:sz w:val="22"/>
          <w:szCs w:val="22"/>
        </w:rPr>
      </w:pPr>
      <w:r w:rsidRPr="19C93153">
        <w:rPr>
          <w:rFonts w:ascii="Arial" w:eastAsia="Arial" w:hAnsi="Arial" w:cs="Arial"/>
          <w:sz w:val="22"/>
          <w:szCs w:val="22"/>
        </w:rPr>
        <w:t>6.5.7</w:t>
      </w:r>
      <w:r>
        <w:rPr>
          <w:rFonts w:ascii="Arial" w:hAnsi="Arial" w:cs="Arial"/>
          <w:sz w:val="22"/>
          <w:szCs w:val="22"/>
        </w:rPr>
        <w:tab/>
      </w:r>
      <w:r w:rsidR="00545BA7" w:rsidRPr="19C93153">
        <w:rPr>
          <w:rFonts w:ascii="Arial" w:eastAsia="Arial" w:hAnsi="Arial" w:cs="Arial"/>
          <w:sz w:val="22"/>
          <w:szCs w:val="22"/>
        </w:rPr>
        <w:t>Any investigation that is required will be treated in the same way as any other, please refer to the Investi</w:t>
      </w:r>
      <w:bookmarkStart w:id="10" w:name="_GoBack"/>
      <w:bookmarkEnd w:id="10"/>
      <w:r w:rsidR="00545BA7" w:rsidRPr="19C93153">
        <w:rPr>
          <w:rFonts w:ascii="Arial" w:eastAsia="Arial" w:hAnsi="Arial" w:cs="Arial"/>
          <w:sz w:val="22"/>
          <w:szCs w:val="22"/>
        </w:rPr>
        <w:t>gation Policy (HR09) for further detail.</w:t>
      </w:r>
    </w:p>
    <w:sectPr w:rsidR="00325097" w:rsidSect="00CB3975">
      <w:headerReference w:type="default" r:id="rId11"/>
      <w:footerReference w:type="even" r:id="rId12"/>
      <w:footerReference w:type="default" r:id="rId13"/>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6264B" w14:textId="77777777" w:rsidR="005D1093" w:rsidRDefault="005D1093">
      <w:r>
        <w:separator/>
      </w:r>
    </w:p>
  </w:endnote>
  <w:endnote w:type="continuationSeparator" w:id="0">
    <w:p w14:paraId="29BC4884" w14:textId="77777777" w:rsidR="005D1093" w:rsidRDefault="005D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ive">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37A97" w14:textId="77777777" w:rsidR="00975AB5" w:rsidRDefault="00975AB5">
    <w:pPr>
      <w:pStyle w:val="Footer"/>
    </w:pPr>
  </w:p>
  <w:p w14:paraId="4DC75A10" w14:textId="77777777" w:rsidR="00EA1EE4" w:rsidRDefault="00EA1EE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CEB4C" w14:textId="77777777" w:rsidR="006F4C69" w:rsidRDefault="008019CB" w:rsidP="19C93153">
    <w:pPr>
      <w:pStyle w:val="Footer"/>
      <w:rPr>
        <w:rFonts w:ascii="Arial" w:eastAsia="Arial" w:hAnsi="Arial" w:cs="Arial"/>
        <w:sz w:val="16"/>
        <w:szCs w:val="16"/>
      </w:rPr>
    </w:pPr>
    <w:r w:rsidRPr="19C93153">
      <w:rPr>
        <w:rFonts w:ascii="Arial" w:eastAsia="Arial" w:hAnsi="Arial" w:cs="Arial"/>
        <w:sz w:val="16"/>
        <w:szCs w:val="16"/>
      </w:rPr>
      <w:t>Phoenix Support</w:t>
    </w:r>
    <w:r w:rsidR="00E2149D" w:rsidRPr="19C93153">
      <w:rPr>
        <w:rFonts w:ascii="Arial" w:eastAsia="Arial" w:hAnsi="Arial" w:cs="Arial"/>
        <w:sz w:val="16"/>
        <w:szCs w:val="16"/>
      </w:rPr>
      <w:t xml:space="preserve"> </w:t>
    </w:r>
    <w:r w:rsidR="00D840CB">
      <w:rPr>
        <w:rFonts w:ascii="Arial" w:hAnsi="Arial" w:cs="Arial"/>
        <w:sz w:val="16"/>
        <w:szCs w:val="16"/>
      </w:rPr>
      <w:tab/>
    </w:r>
    <w:r w:rsidR="00D840CB">
      <w:rPr>
        <w:rFonts w:ascii="Arial" w:hAnsi="Arial" w:cs="Arial"/>
        <w:sz w:val="16"/>
        <w:szCs w:val="16"/>
      </w:rPr>
      <w:tab/>
    </w:r>
    <w:r w:rsidR="00D840CB">
      <w:rPr>
        <w:rFonts w:ascii="Arial" w:hAnsi="Arial" w:cs="Arial"/>
        <w:sz w:val="16"/>
        <w:szCs w:val="16"/>
      </w:rPr>
      <w:tab/>
    </w:r>
    <w:r w:rsidR="00D840CB">
      <w:rPr>
        <w:rFonts w:ascii="Arial" w:hAnsi="Arial" w:cs="Arial"/>
        <w:sz w:val="16"/>
        <w:szCs w:val="16"/>
      </w:rPr>
      <w:tab/>
    </w:r>
    <w:r w:rsidR="00D840CB" w:rsidRPr="19C93153">
      <w:rPr>
        <w:rFonts w:ascii="Arial" w:eastAsia="Arial" w:hAnsi="Arial" w:cs="Arial"/>
        <w:sz w:val="16"/>
        <w:szCs w:val="16"/>
      </w:rPr>
      <w:t xml:space="preserve">   </w:t>
    </w:r>
    <w:r w:rsidR="008E2AEE" w:rsidRPr="19C93153">
      <w:rPr>
        <w:rFonts w:ascii="Arial" w:eastAsia="Arial" w:hAnsi="Arial" w:cs="Arial"/>
        <w:sz w:val="16"/>
        <w:szCs w:val="16"/>
      </w:rPr>
      <w:t>PP</w:t>
    </w:r>
    <w:r w:rsidR="0056185F" w:rsidRPr="19C93153">
      <w:rPr>
        <w:rFonts w:ascii="Arial" w:eastAsia="Arial" w:hAnsi="Arial" w:cs="Arial"/>
        <w:sz w:val="16"/>
        <w:szCs w:val="16"/>
      </w:rPr>
      <w:t>0</w:t>
    </w:r>
    <w:r w:rsidR="00D840CB" w:rsidRPr="19C93153">
      <w:rPr>
        <w:rFonts w:ascii="Arial" w:eastAsia="Arial" w:hAnsi="Arial" w:cs="Arial"/>
        <w:sz w:val="16"/>
        <w:szCs w:val="16"/>
      </w:rPr>
      <w:t>6</w:t>
    </w:r>
  </w:p>
  <w:p w14:paraId="78684885" w14:textId="43E1BE9F" w:rsidR="007950A5" w:rsidRPr="007950A5" w:rsidRDefault="001C6994" w:rsidP="19C93153">
    <w:pPr>
      <w:pStyle w:val="Footer"/>
      <w:tabs>
        <w:tab w:val="clear" w:pos="8306"/>
        <w:tab w:val="right" w:pos="8222"/>
        <w:tab w:val="left" w:pos="9072"/>
      </w:tabs>
      <w:rPr>
        <w:rFonts w:ascii="Arial" w:eastAsia="Arial" w:hAnsi="Arial" w:cs="Arial"/>
        <w:sz w:val="16"/>
        <w:szCs w:val="16"/>
      </w:rPr>
    </w:pPr>
    <w:r>
      <w:rPr>
        <w:rFonts w:ascii="Arial" w:eastAsia="Arial" w:hAnsi="Arial" w:cs="Arial"/>
        <w:sz w:val="16"/>
        <w:szCs w:val="16"/>
        <w:lang w:val="en-GB"/>
      </w:rPr>
      <w:t>AG</w:t>
    </w:r>
    <w:r w:rsidR="00230C46" w:rsidRPr="19C93153">
      <w:rPr>
        <w:rFonts w:ascii="Arial" w:eastAsia="Arial" w:hAnsi="Arial" w:cs="Arial"/>
        <w:sz w:val="16"/>
        <w:szCs w:val="16"/>
      </w:rPr>
      <w:t xml:space="preserve"> </w:t>
    </w:r>
    <w:r>
      <w:rPr>
        <w:rFonts w:ascii="Arial" w:eastAsia="Arial" w:hAnsi="Arial" w:cs="Arial"/>
        <w:sz w:val="16"/>
        <w:szCs w:val="16"/>
        <w:lang w:val="en-GB"/>
      </w:rPr>
      <w:t>V4</w:t>
    </w:r>
    <w:r w:rsidR="00230C46" w:rsidRPr="19C93153">
      <w:rPr>
        <w:rFonts w:ascii="Arial" w:eastAsia="Arial" w:hAnsi="Arial" w:cs="Arial"/>
        <w:sz w:val="16"/>
        <w:szCs w:val="16"/>
      </w:rPr>
      <w:t xml:space="preserve"> (</w:t>
    </w:r>
    <w:r>
      <w:rPr>
        <w:rFonts w:ascii="Arial" w:eastAsia="Arial" w:hAnsi="Arial" w:cs="Arial"/>
        <w:sz w:val="16"/>
        <w:szCs w:val="16"/>
        <w:lang w:val="en-GB"/>
      </w:rPr>
      <w:t>12/18</w:t>
    </w:r>
    <w:r w:rsidR="006F4C69" w:rsidRPr="19C93153">
      <w:rPr>
        <w:rFonts w:ascii="Arial" w:eastAsia="Arial" w:hAnsi="Arial" w:cs="Arial"/>
        <w:sz w:val="16"/>
        <w:szCs w:val="16"/>
      </w:rPr>
      <w:t>)</w:t>
    </w:r>
    <w:r w:rsidR="007950A5" w:rsidRPr="19C93153">
      <w:rPr>
        <w:rFonts w:ascii="Arial" w:eastAsia="Arial" w:hAnsi="Arial" w:cs="Arial"/>
        <w:sz w:val="16"/>
        <w:szCs w:val="16"/>
      </w:rPr>
      <w:t xml:space="preserve">          </w:t>
    </w:r>
    <w:r w:rsidR="007950A5">
      <w:rPr>
        <w:rFonts w:ascii="Arial" w:hAnsi="Arial" w:cs="Arial"/>
        <w:sz w:val="16"/>
        <w:szCs w:val="16"/>
      </w:rPr>
      <w:tab/>
    </w:r>
    <w:r w:rsidR="007950A5">
      <w:rPr>
        <w:rFonts w:ascii="Arial" w:hAnsi="Arial" w:cs="Arial"/>
        <w:sz w:val="16"/>
        <w:szCs w:val="16"/>
      </w:rPr>
      <w:tab/>
    </w:r>
    <w:r w:rsidR="007950A5">
      <w:rPr>
        <w:rFonts w:ascii="Arial" w:hAnsi="Arial" w:cs="Arial"/>
        <w:sz w:val="16"/>
        <w:szCs w:val="16"/>
      </w:rPr>
      <w:tab/>
    </w:r>
    <w:r w:rsidR="007950A5" w:rsidRPr="19C93153">
      <w:rPr>
        <w:rFonts w:ascii="Arial" w:eastAsia="Arial" w:hAnsi="Arial" w:cs="Arial"/>
        <w:sz w:val="16"/>
        <w:szCs w:val="16"/>
      </w:rPr>
      <w:t xml:space="preserve">Page </w:t>
    </w:r>
    <w:r w:rsidR="007950A5" w:rsidRPr="19C93153">
      <w:rPr>
        <w:rFonts w:ascii="Arial" w:eastAsia="Arial" w:hAnsi="Arial" w:cs="Arial"/>
        <w:b/>
        <w:bCs/>
        <w:noProof/>
        <w:sz w:val="16"/>
        <w:szCs w:val="16"/>
      </w:rPr>
      <w:fldChar w:fldCharType="begin"/>
    </w:r>
    <w:r w:rsidR="007950A5" w:rsidRPr="007950A5">
      <w:rPr>
        <w:rFonts w:ascii="Arial" w:hAnsi="Arial" w:cs="Arial"/>
        <w:b/>
        <w:bCs/>
        <w:sz w:val="16"/>
        <w:szCs w:val="16"/>
      </w:rPr>
      <w:instrText xml:space="preserve"> PAGE </w:instrText>
    </w:r>
    <w:r w:rsidR="007950A5" w:rsidRPr="19C93153">
      <w:rPr>
        <w:rFonts w:ascii="Arial" w:hAnsi="Arial" w:cs="Arial"/>
        <w:b/>
        <w:bCs/>
        <w:sz w:val="16"/>
        <w:szCs w:val="16"/>
      </w:rPr>
      <w:fldChar w:fldCharType="separate"/>
    </w:r>
    <w:r w:rsidR="005566EC" w:rsidRPr="19C93153">
      <w:rPr>
        <w:rFonts w:ascii="Arial" w:eastAsia="Arial" w:hAnsi="Arial" w:cs="Arial"/>
        <w:b/>
        <w:bCs/>
        <w:noProof/>
        <w:sz w:val="16"/>
        <w:szCs w:val="16"/>
      </w:rPr>
      <w:t>2</w:t>
    </w:r>
    <w:r w:rsidR="007950A5" w:rsidRPr="19C93153">
      <w:rPr>
        <w:rFonts w:ascii="Arial" w:eastAsia="Arial" w:hAnsi="Arial" w:cs="Arial"/>
        <w:b/>
        <w:bCs/>
        <w:noProof/>
        <w:sz w:val="16"/>
        <w:szCs w:val="16"/>
      </w:rPr>
      <w:fldChar w:fldCharType="end"/>
    </w:r>
    <w:r w:rsidR="007950A5" w:rsidRPr="19C93153">
      <w:rPr>
        <w:rFonts w:ascii="Arial" w:eastAsia="Arial" w:hAnsi="Arial" w:cs="Arial"/>
        <w:sz w:val="16"/>
        <w:szCs w:val="16"/>
      </w:rPr>
      <w:t xml:space="preserve"> of </w:t>
    </w:r>
    <w:r w:rsidR="007950A5" w:rsidRPr="19C93153">
      <w:rPr>
        <w:rFonts w:ascii="Arial" w:eastAsia="Arial" w:hAnsi="Arial" w:cs="Arial"/>
        <w:b/>
        <w:bCs/>
        <w:noProof/>
        <w:sz w:val="16"/>
        <w:szCs w:val="16"/>
      </w:rPr>
      <w:fldChar w:fldCharType="begin"/>
    </w:r>
    <w:r w:rsidR="007950A5" w:rsidRPr="007950A5">
      <w:rPr>
        <w:rFonts w:ascii="Arial" w:hAnsi="Arial" w:cs="Arial"/>
        <w:b/>
        <w:bCs/>
        <w:sz w:val="16"/>
        <w:szCs w:val="16"/>
      </w:rPr>
      <w:instrText xml:space="preserve"> NUMPAGES  </w:instrText>
    </w:r>
    <w:r w:rsidR="007950A5" w:rsidRPr="19C93153">
      <w:rPr>
        <w:rFonts w:ascii="Arial" w:hAnsi="Arial" w:cs="Arial"/>
        <w:b/>
        <w:bCs/>
        <w:sz w:val="16"/>
        <w:szCs w:val="16"/>
      </w:rPr>
      <w:fldChar w:fldCharType="separate"/>
    </w:r>
    <w:r w:rsidR="005566EC" w:rsidRPr="19C93153">
      <w:rPr>
        <w:rFonts w:ascii="Arial" w:eastAsia="Arial" w:hAnsi="Arial" w:cs="Arial"/>
        <w:b/>
        <w:bCs/>
        <w:noProof/>
        <w:sz w:val="16"/>
        <w:szCs w:val="16"/>
      </w:rPr>
      <w:t>4</w:t>
    </w:r>
    <w:r w:rsidR="007950A5" w:rsidRPr="19C93153">
      <w:rPr>
        <w:rFonts w:ascii="Arial" w:eastAsia="Arial" w:hAnsi="Arial" w:cs="Arial"/>
        <w:b/>
        <w:bCs/>
        <w:noProof/>
        <w:sz w:val="16"/>
        <w:szCs w:val="16"/>
      </w:rPr>
      <w:fldChar w:fldCharType="end"/>
    </w:r>
  </w:p>
  <w:p w14:paraId="63938C1A" w14:textId="77777777" w:rsidR="00982060" w:rsidRPr="007950A5" w:rsidRDefault="00982060" w:rsidP="00975AB5">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C5492" w14:textId="77777777" w:rsidR="005D1093" w:rsidRDefault="005D1093">
      <w:r>
        <w:separator/>
      </w:r>
    </w:p>
  </w:footnote>
  <w:footnote w:type="continuationSeparator" w:id="0">
    <w:p w14:paraId="6BB8EF8B" w14:textId="77777777" w:rsidR="005D1093" w:rsidRDefault="005D1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13399" w14:textId="77777777" w:rsidR="00446200" w:rsidRPr="0088189A" w:rsidRDefault="19C93153" w:rsidP="19C93153">
    <w:pPr>
      <w:pStyle w:val="Header"/>
      <w:jc w:val="right"/>
      <w:rPr>
        <w:rFonts w:ascii="Arial" w:eastAsia="Arial" w:hAnsi="Arial" w:cs="Arial"/>
        <w:sz w:val="20"/>
      </w:rPr>
    </w:pPr>
    <w:r w:rsidRPr="19C93153">
      <w:rPr>
        <w:rFonts w:ascii="Arial" w:eastAsia="Arial" w:hAnsi="Arial" w:cs="Arial"/>
        <w:sz w:val="16"/>
        <w:szCs w:val="16"/>
      </w:rPr>
      <w:t>DUTY OF CANDOUR POLICY</w:t>
    </w:r>
  </w:p>
  <w:p w14:paraId="72C85300" w14:textId="77777777" w:rsidR="00446200" w:rsidRDefault="004462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A4B01"/>
    <w:multiLevelType w:val="multilevel"/>
    <w:tmpl w:val="9E406694"/>
    <w:lvl w:ilvl="0">
      <w:start w:val="1"/>
      <w:numFmt w:val="decimal"/>
      <w:lvlText w:val="%1."/>
      <w:lvlJc w:val="left"/>
      <w:pPr>
        <w:tabs>
          <w:tab w:val="num" w:pos="720"/>
        </w:tabs>
        <w:ind w:left="720" w:hanging="720"/>
      </w:pPr>
      <w:rPr>
        <w:rFonts w:hint="default"/>
        <w:b/>
      </w:rPr>
    </w:lvl>
    <w:lvl w:ilvl="1">
      <w:start w:val="1"/>
      <w:numFmt w:val="decimal"/>
      <w:isLgl/>
      <w:lvlText w:val="7.%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1611404F"/>
    <w:multiLevelType w:val="hybridMultilevel"/>
    <w:tmpl w:val="BDAAC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C1A52"/>
    <w:multiLevelType w:val="hybridMultilevel"/>
    <w:tmpl w:val="DF2AE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5E3005"/>
    <w:multiLevelType w:val="hybridMultilevel"/>
    <w:tmpl w:val="C9DC8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BC616B"/>
    <w:multiLevelType w:val="hybridMultilevel"/>
    <w:tmpl w:val="CF3E2E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073E8F"/>
    <w:multiLevelType w:val="multilevel"/>
    <w:tmpl w:val="24649B5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15:restartNumberingAfterBreak="0">
    <w:nsid w:val="44F00015"/>
    <w:multiLevelType w:val="hybridMultilevel"/>
    <w:tmpl w:val="87BA4B5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FB585F"/>
    <w:multiLevelType w:val="hybridMultilevel"/>
    <w:tmpl w:val="24EA92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06551F"/>
    <w:multiLevelType w:val="singleLevel"/>
    <w:tmpl w:val="77F6B042"/>
    <w:lvl w:ilvl="0">
      <w:start w:val="10"/>
      <w:numFmt w:val="bullet"/>
      <w:lvlText w:val=""/>
      <w:lvlJc w:val="left"/>
      <w:pPr>
        <w:tabs>
          <w:tab w:val="num" w:pos="720"/>
        </w:tabs>
        <w:ind w:left="720" w:hanging="720"/>
      </w:pPr>
      <w:rPr>
        <w:rFonts w:ascii="Symbol" w:hAnsi="Symbol" w:hint="default"/>
      </w:rPr>
    </w:lvl>
  </w:abstractNum>
  <w:abstractNum w:abstractNumId="9" w15:restartNumberingAfterBreak="0">
    <w:nsid w:val="54DE162B"/>
    <w:multiLevelType w:val="hybridMultilevel"/>
    <w:tmpl w:val="411C4D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64F6529"/>
    <w:multiLevelType w:val="hybridMultilevel"/>
    <w:tmpl w:val="491AC7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744DA9"/>
    <w:multiLevelType w:val="hybridMultilevel"/>
    <w:tmpl w:val="32CE8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B44A05"/>
    <w:multiLevelType w:val="hybridMultilevel"/>
    <w:tmpl w:val="AB789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8C3D83"/>
    <w:multiLevelType w:val="hybridMultilevel"/>
    <w:tmpl w:val="31FE2E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2F5F61"/>
    <w:multiLevelType w:val="hybridMultilevel"/>
    <w:tmpl w:val="8D545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4"/>
  </w:num>
  <w:num w:numId="5">
    <w:abstractNumId w:val="2"/>
  </w:num>
  <w:num w:numId="6">
    <w:abstractNumId w:val="13"/>
  </w:num>
  <w:num w:numId="7">
    <w:abstractNumId w:val="7"/>
  </w:num>
  <w:num w:numId="8">
    <w:abstractNumId w:val="0"/>
  </w:num>
  <w:num w:numId="9">
    <w:abstractNumId w:val="14"/>
  </w:num>
  <w:num w:numId="10">
    <w:abstractNumId w:val="12"/>
  </w:num>
  <w:num w:numId="11">
    <w:abstractNumId w:val="11"/>
  </w:num>
  <w:num w:numId="12">
    <w:abstractNumId w:val="1"/>
  </w:num>
  <w:num w:numId="13">
    <w:abstractNumId w:val="10"/>
  </w:num>
  <w:num w:numId="14">
    <w:abstractNumId w:val="3"/>
  </w:num>
  <w:num w:numId="15">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89A"/>
    <w:rsid w:val="00006376"/>
    <w:rsid w:val="00020C3A"/>
    <w:rsid w:val="00053CBB"/>
    <w:rsid w:val="000556C0"/>
    <w:rsid w:val="000A1D54"/>
    <w:rsid w:val="000C1FEB"/>
    <w:rsid w:val="001063C2"/>
    <w:rsid w:val="00127CAC"/>
    <w:rsid w:val="0017569B"/>
    <w:rsid w:val="00184151"/>
    <w:rsid w:val="00190B08"/>
    <w:rsid w:val="001931FE"/>
    <w:rsid w:val="001A5D82"/>
    <w:rsid w:val="001C6994"/>
    <w:rsid w:val="00200995"/>
    <w:rsid w:val="00201236"/>
    <w:rsid w:val="0021763C"/>
    <w:rsid w:val="00230C46"/>
    <w:rsid w:val="002437F0"/>
    <w:rsid w:val="00276DE5"/>
    <w:rsid w:val="00297AFD"/>
    <w:rsid w:val="002B71A2"/>
    <w:rsid w:val="002C03CA"/>
    <w:rsid w:val="0030082E"/>
    <w:rsid w:val="00325097"/>
    <w:rsid w:val="003767F3"/>
    <w:rsid w:val="0037773D"/>
    <w:rsid w:val="0040620B"/>
    <w:rsid w:val="00425A53"/>
    <w:rsid w:val="004344A5"/>
    <w:rsid w:val="00446200"/>
    <w:rsid w:val="004E6AE7"/>
    <w:rsid w:val="00526986"/>
    <w:rsid w:val="00533916"/>
    <w:rsid w:val="0054083B"/>
    <w:rsid w:val="00545BA7"/>
    <w:rsid w:val="00545C1E"/>
    <w:rsid w:val="0055118C"/>
    <w:rsid w:val="005566EC"/>
    <w:rsid w:val="0056185F"/>
    <w:rsid w:val="005738B0"/>
    <w:rsid w:val="0057547E"/>
    <w:rsid w:val="005869C1"/>
    <w:rsid w:val="005B3D25"/>
    <w:rsid w:val="005D1093"/>
    <w:rsid w:val="005D1EDA"/>
    <w:rsid w:val="005E609A"/>
    <w:rsid w:val="0061474A"/>
    <w:rsid w:val="00616929"/>
    <w:rsid w:val="00635352"/>
    <w:rsid w:val="00635D70"/>
    <w:rsid w:val="0066656D"/>
    <w:rsid w:val="00680DBF"/>
    <w:rsid w:val="006848DB"/>
    <w:rsid w:val="006A1A48"/>
    <w:rsid w:val="006B75F4"/>
    <w:rsid w:val="006D031B"/>
    <w:rsid w:val="006E01F8"/>
    <w:rsid w:val="006F15E9"/>
    <w:rsid w:val="006F4C69"/>
    <w:rsid w:val="0070230E"/>
    <w:rsid w:val="0071754D"/>
    <w:rsid w:val="00720495"/>
    <w:rsid w:val="007464E3"/>
    <w:rsid w:val="00767820"/>
    <w:rsid w:val="007813B2"/>
    <w:rsid w:val="007950A5"/>
    <w:rsid w:val="007B35F0"/>
    <w:rsid w:val="008019CB"/>
    <w:rsid w:val="00804DEA"/>
    <w:rsid w:val="00825400"/>
    <w:rsid w:val="00873D2E"/>
    <w:rsid w:val="00875C6C"/>
    <w:rsid w:val="0088189A"/>
    <w:rsid w:val="00895215"/>
    <w:rsid w:val="008A5E5E"/>
    <w:rsid w:val="008E2AEE"/>
    <w:rsid w:val="00911BB0"/>
    <w:rsid w:val="00920297"/>
    <w:rsid w:val="00975AB5"/>
    <w:rsid w:val="00982060"/>
    <w:rsid w:val="00984276"/>
    <w:rsid w:val="009A28F6"/>
    <w:rsid w:val="009D1C0E"/>
    <w:rsid w:val="009D72A3"/>
    <w:rsid w:val="009F0A51"/>
    <w:rsid w:val="00A1610B"/>
    <w:rsid w:val="00A274EB"/>
    <w:rsid w:val="00A5464B"/>
    <w:rsid w:val="00A768D4"/>
    <w:rsid w:val="00AB301A"/>
    <w:rsid w:val="00AC41E2"/>
    <w:rsid w:val="00AC6F99"/>
    <w:rsid w:val="00AC7A76"/>
    <w:rsid w:val="00AD426B"/>
    <w:rsid w:val="00AD6EE3"/>
    <w:rsid w:val="00B12B62"/>
    <w:rsid w:val="00B45BF3"/>
    <w:rsid w:val="00B557D3"/>
    <w:rsid w:val="00BF0DCB"/>
    <w:rsid w:val="00C05FB9"/>
    <w:rsid w:val="00C06337"/>
    <w:rsid w:val="00C25621"/>
    <w:rsid w:val="00C40CB1"/>
    <w:rsid w:val="00C4218C"/>
    <w:rsid w:val="00C67F45"/>
    <w:rsid w:val="00CA5892"/>
    <w:rsid w:val="00CB3975"/>
    <w:rsid w:val="00CB6DC7"/>
    <w:rsid w:val="00D00CAE"/>
    <w:rsid w:val="00D060E2"/>
    <w:rsid w:val="00D07625"/>
    <w:rsid w:val="00D1559A"/>
    <w:rsid w:val="00D333DD"/>
    <w:rsid w:val="00D41FAA"/>
    <w:rsid w:val="00D466D1"/>
    <w:rsid w:val="00D50CBB"/>
    <w:rsid w:val="00D840CB"/>
    <w:rsid w:val="00D97894"/>
    <w:rsid w:val="00DA3058"/>
    <w:rsid w:val="00DA5802"/>
    <w:rsid w:val="00DB5448"/>
    <w:rsid w:val="00DE2DD7"/>
    <w:rsid w:val="00E2149D"/>
    <w:rsid w:val="00E71F35"/>
    <w:rsid w:val="00E80521"/>
    <w:rsid w:val="00E814BC"/>
    <w:rsid w:val="00E949E6"/>
    <w:rsid w:val="00EA1EE4"/>
    <w:rsid w:val="00EF6F21"/>
    <w:rsid w:val="00F00F6F"/>
    <w:rsid w:val="00F013DC"/>
    <w:rsid w:val="00F26AFA"/>
    <w:rsid w:val="00F32E76"/>
    <w:rsid w:val="00F43ADF"/>
    <w:rsid w:val="00F46AFC"/>
    <w:rsid w:val="00F747B0"/>
    <w:rsid w:val="00F90571"/>
    <w:rsid w:val="00FE5254"/>
    <w:rsid w:val="19C931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23BF0E"/>
  <w15:chartTrackingRefBased/>
  <w15:docId w15:val="{A05913F6-CDFC-48F0-87E5-C7882E0BE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GB" w:eastAsia="en-GB"/>
    </w:rPr>
  </w:style>
  <w:style w:type="paragraph" w:styleId="Heading1">
    <w:name w:val="heading 1"/>
    <w:basedOn w:val="Normal"/>
    <w:next w:val="Normal"/>
    <w:qFormat/>
    <w:pPr>
      <w:keepNext/>
      <w:outlineLvl w:val="0"/>
    </w:pPr>
    <w:rPr>
      <w:rFonts w:ascii="Antique Olive" w:hAnsi="Antique Olive"/>
      <w:b/>
      <w:sz w:val="22"/>
    </w:rPr>
  </w:style>
  <w:style w:type="paragraph" w:styleId="Heading2">
    <w:name w:val="heading 2"/>
    <w:basedOn w:val="Normal"/>
    <w:next w:val="Normal"/>
    <w:link w:val="Heading2Char"/>
    <w:unhideWhenUsed/>
    <w:qFormat/>
    <w:rsid w:val="00D00CAE"/>
    <w:pPr>
      <w:keepNext/>
      <w:spacing w:before="240" w:after="60"/>
      <w:outlineLvl w:val="1"/>
    </w:pPr>
    <w:rPr>
      <w:rFonts w:ascii="Calibri Light" w:hAnsi="Calibri Light"/>
      <w:b/>
      <w:bCs/>
      <w:i/>
      <w:iCs/>
      <w:sz w:val="28"/>
      <w:szCs w:val="28"/>
      <w:lang w:val="x-none" w:eastAsia="x-none"/>
    </w:rPr>
  </w:style>
  <w:style w:type="paragraph" w:styleId="Heading3">
    <w:name w:val="heading 3"/>
    <w:basedOn w:val="Normal"/>
    <w:next w:val="Normal"/>
    <w:link w:val="Heading3Char"/>
    <w:semiHidden/>
    <w:unhideWhenUsed/>
    <w:qFormat/>
    <w:rsid w:val="009D1C0E"/>
    <w:pPr>
      <w:keepNext/>
      <w:spacing w:before="240" w:after="60"/>
      <w:outlineLvl w:val="2"/>
    </w:pPr>
    <w:rPr>
      <w:rFonts w:ascii="Calibri Light" w:hAnsi="Calibri Light"/>
      <w:b/>
      <w:bCs/>
      <w:sz w:val="26"/>
      <w:szCs w:val="26"/>
      <w:lang w:val="x-none" w:eastAsia="x-none"/>
    </w:rPr>
  </w:style>
  <w:style w:type="paragraph" w:styleId="Heading4">
    <w:name w:val="heading 4"/>
    <w:basedOn w:val="Normal"/>
    <w:next w:val="Normal"/>
    <w:link w:val="Heading4Char"/>
    <w:semiHidden/>
    <w:unhideWhenUsed/>
    <w:qFormat/>
    <w:rsid w:val="00425A5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ntique Olive" w:hAnsi="Antique Olive"/>
      <w:b/>
      <w:sz w:val="28"/>
    </w:rPr>
  </w:style>
  <w:style w:type="paragraph" w:styleId="Header">
    <w:name w:val="header"/>
    <w:basedOn w:val="Normal"/>
    <w:link w:val="HeaderChar"/>
    <w:rsid w:val="0088189A"/>
    <w:pPr>
      <w:tabs>
        <w:tab w:val="center" w:pos="4153"/>
        <w:tab w:val="right" w:pos="8306"/>
      </w:tabs>
    </w:pPr>
    <w:rPr>
      <w:lang w:val="x-none" w:eastAsia="x-none"/>
    </w:rPr>
  </w:style>
  <w:style w:type="paragraph" w:styleId="Footer">
    <w:name w:val="footer"/>
    <w:basedOn w:val="Normal"/>
    <w:link w:val="FooterChar"/>
    <w:uiPriority w:val="99"/>
    <w:rsid w:val="0088189A"/>
    <w:pPr>
      <w:tabs>
        <w:tab w:val="center" w:pos="4153"/>
        <w:tab w:val="right" w:pos="8306"/>
      </w:tabs>
    </w:pPr>
    <w:rPr>
      <w:lang w:val="x-none" w:eastAsia="x-none"/>
    </w:rPr>
  </w:style>
  <w:style w:type="paragraph" w:styleId="BalloonText">
    <w:name w:val="Balloon Text"/>
    <w:basedOn w:val="Normal"/>
    <w:semiHidden/>
    <w:rsid w:val="00EF6F21"/>
    <w:rPr>
      <w:rFonts w:ascii="Tahoma" w:hAnsi="Tahoma" w:cs="Tahoma"/>
      <w:sz w:val="16"/>
      <w:szCs w:val="16"/>
    </w:rPr>
  </w:style>
  <w:style w:type="paragraph" w:customStyle="1" w:styleId="Default">
    <w:name w:val="Default"/>
    <w:rsid w:val="000A1D54"/>
    <w:pPr>
      <w:widowControl w:val="0"/>
      <w:autoSpaceDE w:val="0"/>
      <w:autoSpaceDN w:val="0"/>
      <w:adjustRightInd w:val="0"/>
    </w:pPr>
    <w:rPr>
      <w:rFonts w:ascii="Arial Black" w:hAnsi="Arial Black" w:cs="Arial Black"/>
      <w:color w:val="000000"/>
      <w:sz w:val="24"/>
      <w:szCs w:val="24"/>
      <w:lang w:eastAsia="en-US"/>
    </w:rPr>
  </w:style>
  <w:style w:type="character" w:customStyle="1" w:styleId="Heading2Char">
    <w:name w:val="Heading 2 Char"/>
    <w:link w:val="Heading2"/>
    <w:rsid w:val="00D00CAE"/>
    <w:rPr>
      <w:rFonts w:ascii="Calibri Light" w:eastAsia="Times New Roman" w:hAnsi="Calibri Light" w:cs="Times New Roman"/>
      <w:b/>
      <w:bCs/>
      <w:i/>
      <w:iCs/>
      <w:sz w:val="28"/>
      <w:szCs w:val="28"/>
    </w:rPr>
  </w:style>
  <w:style w:type="paragraph" w:styleId="BodyTextIndent">
    <w:name w:val="Body Text Indent"/>
    <w:basedOn w:val="Normal"/>
    <w:link w:val="BodyTextIndentChar"/>
    <w:rsid w:val="00D00CAE"/>
    <w:pPr>
      <w:spacing w:after="120"/>
      <w:ind w:left="283"/>
    </w:pPr>
    <w:rPr>
      <w:lang w:val="x-none" w:eastAsia="x-none"/>
    </w:rPr>
  </w:style>
  <w:style w:type="character" w:customStyle="1" w:styleId="BodyTextIndentChar">
    <w:name w:val="Body Text Indent Char"/>
    <w:link w:val="BodyTextIndent"/>
    <w:rsid w:val="00D00CAE"/>
    <w:rPr>
      <w:sz w:val="24"/>
    </w:rPr>
  </w:style>
  <w:style w:type="paragraph" w:styleId="BodyTextIndent2">
    <w:name w:val="Body Text Indent 2"/>
    <w:basedOn w:val="Normal"/>
    <w:link w:val="BodyTextIndent2Char"/>
    <w:rsid w:val="00D00CAE"/>
    <w:pPr>
      <w:spacing w:after="120" w:line="480" w:lineRule="auto"/>
      <w:ind w:left="283"/>
    </w:pPr>
    <w:rPr>
      <w:lang w:val="x-none" w:eastAsia="x-none"/>
    </w:rPr>
  </w:style>
  <w:style w:type="character" w:customStyle="1" w:styleId="BodyTextIndent2Char">
    <w:name w:val="Body Text Indent 2 Char"/>
    <w:link w:val="BodyTextIndent2"/>
    <w:rsid w:val="00D00CAE"/>
    <w:rPr>
      <w:sz w:val="24"/>
    </w:rPr>
  </w:style>
  <w:style w:type="character" w:customStyle="1" w:styleId="FooterChar">
    <w:name w:val="Footer Char"/>
    <w:link w:val="Footer"/>
    <w:uiPriority w:val="99"/>
    <w:rsid w:val="00D00CAE"/>
    <w:rPr>
      <w:sz w:val="24"/>
    </w:rPr>
  </w:style>
  <w:style w:type="character" w:styleId="PageNumber">
    <w:name w:val="page number"/>
    <w:rsid w:val="00545C1E"/>
  </w:style>
  <w:style w:type="character" w:styleId="Hyperlink">
    <w:name w:val="Hyperlink"/>
    <w:rsid w:val="00545C1E"/>
    <w:rPr>
      <w:color w:val="0000FF"/>
      <w:u w:val="single"/>
    </w:rPr>
  </w:style>
  <w:style w:type="paragraph" w:customStyle="1" w:styleId="body">
    <w:name w:val="body"/>
    <w:basedOn w:val="Normal"/>
    <w:rsid w:val="00545C1E"/>
    <w:pPr>
      <w:spacing w:before="100" w:beforeAutospacing="1" w:after="100" w:afterAutospacing="1"/>
    </w:pPr>
    <w:rPr>
      <w:szCs w:val="24"/>
      <w:lang w:eastAsia="en-US"/>
    </w:rPr>
  </w:style>
  <w:style w:type="character" w:customStyle="1" w:styleId="n-compcl">
    <w:name w:val="n-compcl"/>
    <w:rsid w:val="00545C1E"/>
  </w:style>
  <w:style w:type="character" w:customStyle="1" w:styleId="Heading3Char">
    <w:name w:val="Heading 3 Char"/>
    <w:link w:val="Heading3"/>
    <w:semiHidden/>
    <w:rsid w:val="009D1C0E"/>
    <w:rPr>
      <w:rFonts w:ascii="Calibri Light" w:eastAsia="Times New Roman" w:hAnsi="Calibri Light" w:cs="Times New Roman"/>
      <w:b/>
      <w:bCs/>
      <w:sz w:val="26"/>
      <w:szCs w:val="26"/>
    </w:rPr>
  </w:style>
  <w:style w:type="character" w:customStyle="1" w:styleId="highlight">
    <w:name w:val="highlight"/>
    <w:rsid w:val="00D50CBB"/>
  </w:style>
  <w:style w:type="paragraph" w:styleId="BodyText3">
    <w:name w:val="Body Text 3"/>
    <w:basedOn w:val="Normal"/>
    <w:link w:val="BodyText3Char"/>
    <w:rsid w:val="00C67F45"/>
    <w:pPr>
      <w:spacing w:after="120"/>
    </w:pPr>
    <w:rPr>
      <w:sz w:val="16"/>
      <w:szCs w:val="16"/>
      <w:lang w:val="x-none" w:eastAsia="x-none"/>
    </w:rPr>
  </w:style>
  <w:style w:type="character" w:customStyle="1" w:styleId="BodyText3Char">
    <w:name w:val="Body Text 3 Char"/>
    <w:link w:val="BodyText3"/>
    <w:rsid w:val="00C67F45"/>
    <w:rPr>
      <w:sz w:val="16"/>
      <w:szCs w:val="16"/>
    </w:rPr>
  </w:style>
  <w:style w:type="character" w:styleId="Strong">
    <w:name w:val="Strong"/>
    <w:qFormat/>
    <w:rsid w:val="00C67F45"/>
    <w:rPr>
      <w:b/>
    </w:rPr>
  </w:style>
  <w:style w:type="character" w:customStyle="1" w:styleId="Heading4Char">
    <w:name w:val="Heading 4 Char"/>
    <w:link w:val="Heading4"/>
    <w:semiHidden/>
    <w:rsid w:val="00425A53"/>
    <w:rPr>
      <w:rFonts w:ascii="Calibri" w:eastAsia="Times New Roman" w:hAnsi="Calibri" w:cs="Times New Roman"/>
      <w:b/>
      <w:bCs/>
      <w:sz w:val="28"/>
      <w:szCs w:val="28"/>
    </w:rPr>
  </w:style>
  <w:style w:type="character" w:customStyle="1" w:styleId="HeaderChar">
    <w:name w:val="Header Char"/>
    <w:link w:val="Header"/>
    <w:rsid w:val="0066656D"/>
    <w:rPr>
      <w:sz w:val="24"/>
    </w:rPr>
  </w:style>
  <w:style w:type="paragraph" w:customStyle="1" w:styleId="CHead">
    <w:name w:val="C Head"/>
    <w:link w:val="CHeadChar"/>
    <w:rsid w:val="00D97894"/>
    <w:pPr>
      <w:keepNext/>
      <w:spacing w:before="240" w:after="120"/>
    </w:pPr>
    <w:rPr>
      <w:rFonts w:ascii="Arial" w:hAnsi="Arial" w:cs="Arial"/>
      <w:b/>
      <w:bCs/>
      <w:lang w:eastAsia="en-US"/>
    </w:rPr>
  </w:style>
  <w:style w:type="character" w:customStyle="1" w:styleId="CHeadChar">
    <w:name w:val="C Head Char"/>
    <w:link w:val="CHead"/>
    <w:rsid w:val="00D97894"/>
    <w:rPr>
      <w:rFonts w:ascii="Arial" w:hAnsi="Arial" w:cs="Arial"/>
      <w:b/>
      <w:bC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94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ECAE9846F5F34F9E94AF2723EDA587" ma:contentTypeVersion="4" ma:contentTypeDescription="Create a new document." ma:contentTypeScope="" ma:versionID="434be25c47190a002da057b69ea62aba">
  <xsd:schema xmlns:xsd="http://www.w3.org/2001/XMLSchema" xmlns:xs="http://www.w3.org/2001/XMLSchema" xmlns:p="http://schemas.microsoft.com/office/2006/metadata/properties" xmlns:ns2="545414e0-01f8-4fc2-b3ea-f39720289063" xmlns:ns3="e043b50c-9316-4a3d-9932-05630223c859" targetNamespace="http://schemas.microsoft.com/office/2006/metadata/properties" ma:root="true" ma:fieldsID="9b1104c79309b70a1b3d3e1b414c87f9" ns2:_="" ns3:_="">
    <xsd:import namespace="545414e0-01f8-4fc2-b3ea-f39720289063"/>
    <xsd:import namespace="e043b50c-9316-4a3d-9932-05630223c8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414e0-01f8-4fc2-b3ea-f397202890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43b50c-9316-4a3d-9932-05630223c85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A03E84-F576-4B31-ADCD-6451F33CD8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0DCD1C-6D08-411A-95CD-877F4BAD3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414e0-01f8-4fc2-b3ea-f39720289063"/>
    <ds:schemaRef ds:uri="e043b50c-9316-4a3d-9932-05630223c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E47AF5-121D-4A3F-9FA1-446608B38015}">
  <ds:schemaRefs>
    <ds:schemaRef ds:uri="http://schemas.microsoft.com/sharepoint/v3/contenttype/forms"/>
  </ds:schemaRefs>
</ds:datastoreItem>
</file>

<file path=customXml/itemProps4.xml><?xml version="1.0" encoding="utf-8"?>
<ds:datastoreItem xmlns:ds="http://schemas.openxmlformats.org/officeDocument/2006/customXml" ds:itemID="{3259AE71-E76B-4EB0-800B-F73F636F4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STRUCTURE FOR WANDSWORTH HOMES ASSOCIATION PROCEDURES</vt:lpstr>
    </vt:vector>
  </TitlesOfParts>
  <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FOR WANDSWORTH HOMES ASSOCIATION PROCEDURES</dc:title>
  <dc:subject/>
  <dc:creator>Wandsworth Homes Association</dc:creator>
  <cp:keywords/>
  <cp:lastModifiedBy>Annick Guirate</cp:lastModifiedBy>
  <cp:revision>3</cp:revision>
  <cp:lastPrinted>2015-08-27T15:32:00Z</cp:lastPrinted>
  <dcterms:created xsi:type="dcterms:W3CDTF">2018-12-12T18:53:00Z</dcterms:created>
  <dcterms:modified xsi:type="dcterms:W3CDTF">2018-12-13T12:02:00Z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0x0101003DECAE9846F5F34F9E94AF2723EDA587</vt:lpwstr>
  </property>
</Properties>
</file>